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1198"/>
        <w:gridCol w:w="1559"/>
      </w:tblGrid>
      <w:tr w:rsidR="00997CB6" w:rsidRPr="00644CF0" w14:paraId="5271A17F" w14:textId="77777777" w:rsidTr="004664E5">
        <w:trPr>
          <w:trHeight w:val="534"/>
        </w:trPr>
        <w:tc>
          <w:tcPr>
            <w:tcW w:w="2694" w:type="dxa"/>
            <w:shd w:val="clear" w:color="auto" w:fill="002060"/>
            <w:vAlign w:val="center"/>
          </w:tcPr>
          <w:p w14:paraId="5254BD28" w14:textId="77777777" w:rsidR="00997CB6" w:rsidRPr="00C54945" w:rsidRDefault="00997CB6" w:rsidP="00CF49A5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5494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Issue</w:t>
            </w:r>
          </w:p>
        </w:tc>
        <w:tc>
          <w:tcPr>
            <w:tcW w:w="11198" w:type="dxa"/>
            <w:shd w:val="clear" w:color="auto" w:fill="002060"/>
            <w:vAlign w:val="center"/>
          </w:tcPr>
          <w:p w14:paraId="7802FDEB" w14:textId="77777777" w:rsidR="00997CB6" w:rsidRPr="00644CF0" w:rsidRDefault="00997CB6" w:rsidP="00CF49A5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Consensus Statement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121E4A52" w14:textId="77777777" w:rsidR="00A611AA" w:rsidRDefault="00997CB6" w:rsidP="00CF49A5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Notes/</w:t>
            </w:r>
          </w:p>
          <w:p w14:paraId="25D40933" w14:textId="63B0D668" w:rsidR="00997CB6" w:rsidRPr="00644CF0" w:rsidRDefault="00997CB6" w:rsidP="00CF49A5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comments</w:t>
            </w:r>
          </w:p>
        </w:tc>
      </w:tr>
      <w:tr w:rsidR="00997CB6" w:rsidRPr="00644CF0" w14:paraId="66185648" w14:textId="77777777" w:rsidTr="004664E5">
        <w:tc>
          <w:tcPr>
            <w:tcW w:w="2694" w:type="dxa"/>
          </w:tcPr>
          <w:p w14:paraId="6C4D7946" w14:textId="77777777" w:rsidR="00997CB6" w:rsidRPr="00C54945" w:rsidRDefault="00997CB6" w:rsidP="0051720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4945">
              <w:rPr>
                <w:rFonts w:ascii="Arial" w:hAnsi="Arial" w:cs="Arial"/>
                <w:b/>
                <w:bCs/>
                <w:sz w:val="24"/>
                <w:szCs w:val="24"/>
              </w:rPr>
              <w:t>Directionality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4945">
              <w:rPr>
                <w:rFonts w:ascii="Arial" w:hAnsi="Arial" w:cs="Arial"/>
                <w:b/>
                <w:bCs/>
                <w:sz w:val="24"/>
                <w:szCs w:val="24"/>
              </w:rPr>
              <w:t>of PRO Scores</w:t>
            </w:r>
          </w:p>
        </w:tc>
        <w:tc>
          <w:tcPr>
            <w:tcW w:w="11198" w:type="dxa"/>
          </w:tcPr>
          <w:p w14:paraId="6B963D99" w14:textId="176DE6EF" w:rsidR="00997CB6" w:rsidRDefault="00997CB6" w:rsidP="0051720B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A31C2C">
              <w:rPr>
                <w:rFonts w:ascii="Arial" w:eastAsia="Calibri" w:hAnsi="Arial" w:cs="Arial"/>
                <w:sz w:val="24"/>
                <w:szCs w:val="24"/>
              </w:rPr>
              <w:t>The Consensus Panel warned against trying to change current instruments–even if only how the data are displayed (e.g., “flipping the axes” where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31C2C">
              <w:rPr>
                <w:rFonts w:ascii="Arial" w:eastAsia="Calibri" w:hAnsi="Arial" w:cs="Arial"/>
                <w:sz w:val="24"/>
                <w:szCs w:val="24"/>
              </w:rPr>
              <w:t>required for symptom scores so that lines going up are always better).</w:t>
            </w:r>
          </w:p>
          <w:p w14:paraId="7DC60326" w14:textId="77777777" w:rsidR="00997CB6" w:rsidRPr="00824B4A" w:rsidRDefault="00997CB6" w:rsidP="0051720B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5420B7">
              <w:rPr>
                <w:rFonts w:ascii="Arial" w:eastAsia="Calibri" w:hAnsi="Arial" w:cs="Arial"/>
                <w:sz w:val="24"/>
                <w:szCs w:val="24"/>
              </w:rPr>
              <w:t>PRO data presentation should avoid mixing score direction in a single display.</w:t>
            </w:r>
          </w:p>
        </w:tc>
        <w:tc>
          <w:tcPr>
            <w:tcW w:w="1559" w:type="dxa"/>
          </w:tcPr>
          <w:p w14:paraId="3073D0A7" w14:textId="77777777" w:rsidR="00997CB6" w:rsidRPr="00644CF0" w:rsidRDefault="00997CB6" w:rsidP="0051720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7CB6" w:rsidRPr="00644CF0" w14:paraId="022BACEB" w14:textId="77777777" w:rsidTr="004664E5">
        <w:tc>
          <w:tcPr>
            <w:tcW w:w="2694" w:type="dxa"/>
          </w:tcPr>
          <w:p w14:paraId="3FA059CA" w14:textId="77777777" w:rsidR="00997CB6" w:rsidRPr="00C54945" w:rsidRDefault="00997CB6" w:rsidP="0051720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4945">
              <w:rPr>
                <w:rFonts w:ascii="Arial" w:hAnsi="Arial" w:cs="Arial"/>
                <w:b/>
                <w:bCs/>
                <w:sz w:val="24"/>
                <w:szCs w:val="24"/>
              </w:rPr>
              <w:t>Conveying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4945">
              <w:rPr>
                <w:rFonts w:ascii="Arial" w:hAnsi="Arial" w:cs="Arial"/>
                <w:b/>
                <w:bCs/>
                <w:sz w:val="24"/>
                <w:szCs w:val="24"/>
              </w:rPr>
              <w:t>Score Meaning</w:t>
            </w:r>
          </w:p>
        </w:tc>
        <w:tc>
          <w:tcPr>
            <w:tcW w:w="11198" w:type="dxa"/>
          </w:tcPr>
          <w:p w14:paraId="4DFFE624" w14:textId="6E410A21" w:rsidR="00997CB6" w:rsidRDefault="00997CB6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D241A">
              <w:rPr>
                <w:rFonts w:ascii="Arial" w:hAnsi="Arial" w:cs="Arial"/>
                <w:sz w:val="24"/>
                <w:szCs w:val="24"/>
              </w:rPr>
              <w:t>Descriptive labels (e.g., none/mild/moderate/severe) along the y-axis are helpful and should be used when data supporting their location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241A">
              <w:rPr>
                <w:rFonts w:ascii="Arial" w:hAnsi="Arial" w:cs="Arial"/>
                <w:sz w:val="24"/>
                <w:szCs w:val="24"/>
              </w:rPr>
              <w:t>on the scale are available.</w:t>
            </w:r>
          </w:p>
          <w:p w14:paraId="6D2CC712" w14:textId="77777777" w:rsidR="00997CB6" w:rsidRPr="00644CF0" w:rsidRDefault="00997CB6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20F44">
              <w:rPr>
                <w:rFonts w:ascii="Arial" w:hAnsi="Arial" w:cs="Arial"/>
                <w:sz w:val="24"/>
                <w:szCs w:val="24"/>
              </w:rPr>
              <w:t>In addition to the descriptive y-axis labels, reference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0F44">
              <w:rPr>
                <w:rFonts w:ascii="Arial" w:hAnsi="Arial" w:cs="Arial"/>
                <w:sz w:val="24"/>
                <w:szCs w:val="24"/>
              </w:rPr>
              <w:t>values for comparison populations should be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0F44">
              <w:rPr>
                <w:rFonts w:ascii="Arial" w:hAnsi="Arial" w:cs="Arial"/>
                <w:sz w:val="24"/>
                <w:szCs w:val="24"/>
              </w:rPr>
              <w:t>considered for inclusion if they are available.</w:t>
            </w:r>
          </w:p>
        </w:tc>
        <w:tc>
          <w:tcPr>
            <w:tcW w:w="1559" w:type="dxa"/>
          </w:tcPr>
          <w:p w14:paraId="69DDEF21" w14:textId="77777777" w:rsidR="00997CB6" w:rsidRPr="00644CF0" w:rsidRDefault="00997CB6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B6" w:rsidRPr="00644CF0" w14:paraId="7791C9BA" w14:textId="77777777" w:rsidTr="004664E5">
        <w:tc>
          <w:tcPr>
            <w:tcW w:w="2694" w:type="dxa"/>
          </w:tcPr>
          <w:p w14:paraId="6095645F" w14:textId="77777777" w:rsidR="00997CB6" w:rsidRPr="00C54945" w:rsidRDefault="00997CB6" w:rsidP="0051720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4945">
              <w:rPr>
                <w:rFonts w:ascii="Arial" w:hAnsi="Arial" w:cs="Arial"/>
                <w:b/>
                <w:bCs/>
                <w:sz w:val="24"/>
                <w:szCs w:val="24"/>
              </w:rPr>
              <w:t>Normed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4945">
              <w:rPr>
                <w:rFonts w:ascii="Arial" w:hAnsi="Arial" w:cs="Arial"/>
                <w:b/>
                <w:bCs/>
                <w:sz w:val="24"/>
                <w:szCs w:val="24"/>
              </w:rPr>
              <w:t>Scoring</w:t>
            </w:r>
          </w:p>
        </w:tc>
        <w:tc>
          <w:tcPr>
            <w:tcW w:w="11198" w:type="dxa"/>
          </w:tcPr>
          <w:p w14:paraId="5AD83C5E" w14:textId="502E93BE" w:rsidR="00997CB6" w:rsidRDefault="00997CB6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05706">
              <w:rPr>
                <w:rFonts w:ascii="Arial" w:hAnsi="Arial" w:cs="Arial"/>
                <w:sz w:val="24"/>
                <w:szCs w:val="24"/>
              </w:rPr>
              <w:t>PRO data presentation needs to accommodate instruments the way they were developed, with 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706">
              <w:rPr>
                <w:rFonts w:ascii="Arial" w:hAnsi="Arial" w:cs="Arial"/>
                <w:sz w:val="24"/>
                <w:szCs w:val="24"/>
              </w:rPr>
              <w:t>without normed scoring.</w:t>
            </w:r>
          </w:p>
          <w:p w14:paraId="0E6DBC23" w14:textId="25E6AE53" w:rsidR="00997CB6" w:rsidRDefault="00997CB6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E3A36">
              <w:rPr>
                <w:rFonts w:ascii="Arial" w:hAnsi="Arial" w:cs="Arial"/>
                <w:sz w:val="24"/>
                <w:szCs w:val="24"/>
              </w:rPr>
              <w:t>One can decide if/when to show the reference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A36">
              <w:rPr>
                <w:rFonts w:ascii="Arial" w:hAnsi="Arial" w:cs="Arial"/>
                <w:sz w:val="24"/>
                <w:szCs w:val="24"/>
              </w:rPr>
              <w:t>population norm visually (e.g., with a line on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A36">
              <w:rPr>
                <w:rFonts w:ascii="Arial" w:hAnsi="Arial" w:cs="Arial"/>
                <w:sz w:val="24"/>
                <w:szCs w:val="24"/>
              </w:rPr>
              <w:t>graph), understanding that displaying it might provide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A36">
              <w:rPr>
                <w:rFonts w:ascii="Arial" w:hAnsi="Arial" w:cs="Arial"/>
                <w:sz w:val="24"/>
                <w:szCs w:val="24"/>
              </w:rPr>
              <w:t>additional interpretive value, but potentially at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A36">
              <w:rPr>
                <w:rFonts w:ascii="Arial" w:hAnsi="Arial" w:cs="Arial"/>
                <w:sz w:val="24"/>
                <w:szCs w:val="24"/>
              </w:rPr>
              <w:t>cost of greater complexity.</w:t>
            </w:r>
          </w:p>
          <w:p w14:paraId="40F41044" w14:textId="77777777" w:rsidR="00997CB6" w:rsidRDefault="00997CB6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904F2">
              <w:rPr>
                <w:rFonts w:ascii="Arial" w:hAnsi="Arial" w:cs="Arial"/>
                <w:sz w:val="24"/>
                <w:szCs w:val="24"/>
              </w:rPr>
              <w:t>Comparison to</w:t>
            </w:r>
            <w:r w:rsidRPr="006A1D2D">
              <w:rPr>
                <w:rFonts w:ascii="Arial" w:hAnsi="Arial" w:cs="Arial"/>
                <w:sz w:val="24"/>
                <w:szCs w:val="24"/>
              </w:rPr>
              <w:t xml:space="preserve"> the norm might be less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1D2D">
              <w:rPr>
                <w:rFonts w:ascii="Arial" w:hAnsi="Arial" w:cs="Arial"/>
                <w:sz w:val="24"/>
                <w:szCs w:val="24"/>
              </w:rPr>
              <w:t>relevant in the context where the primary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1D2D">
              <w:rPr>
                <w:rFonts w:ascii="Arial" w:hAnsi="Arial" w:cs="Arial"/>
                <w:sz w:val="24"/>
                <w:szCs w:val="24"/>
              </w:rPr>
              <w:t>focus is the choice between treatments.</w:t>
            </w:r>
          </w:p>
          <w:p w14:paraId="7EF3C693" w14:textId="77777777" w:rsidR="00997CB6" w:rsidRPr="00377DDB" w:rsidRDefault="00997CB6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77DDB">
              <w:rPr>
                <w:rFonts w:ascii="Arial" w:hAnsi="Arial" w:cs="Arial"/>
                <w:sz w:val="24"/>
                <w:szCs w:val="24"/>
              </w:rPr>
              <w:t>If a norm is displayed:</w:t>
            </w:r>
          </w:p>
          <w:p w14:paraId="0CAF73B6" w14:textId="273EA4C7" w:rsidR="00997CB6" w:rsidRPr="00377DDB" w:rsidRDefault="00997CB6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77DDB">
              <w:rPr>
                <w:rFonts w:ascii="Arial" w:hAnsi="Arial" w:cs="Arial"/>
                <w:sz w:val="24"/>
                <w:szCs w:val="24"/>
              </w:rPr>
              <w:t>• It is necessary to describe the reference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DDB">
              <w:rPr>
                <w:rFonts w:ascii="Arial" w:hAnsi="Arial" w:cs="Arial"/>
                <w:sz w:val="24"/>
                <w:szCs w:val="24"/>
              </w:rPr>
              <w:t>population and label the norm as clearly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DDB">
              <w:rPr>
                <w:rFonts w:ascii="Arial" w:hAnsi="Arial" w:cs="Arial"/>
                <w:sz w:val="24"/>
                <w:szCs w:val="24"/>
              </w:rPr>
              <w:t>as possible (recommend “average” rather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DDB">
              <w:rPr>
                <w:rFonts w:ascii="Arial" w:hAnsi="Arial" w:cs="Arial"/>
                <w:sz w:val="24"/>
                <w:szCs w:val="24"/>
              </w:rPr>
              <w:t>than “norm”)</w:t>
            </w:r>
          </w:p>
          <w:p w14:paraId="41F6C504" w14:textId="77777777" w:rsidR="00997CB6" w:rsidRPr="00377DDB" w:rsidRDefault="00997CB6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77DDB">
              <w:rPr>
                <w:rFonts w:ascii="Arial" w:hAnsi="Arial" w:cs="Arial"/>
                <w:sz w:val="24"/>
                <w:szCs w:val="24"/>
              </w:rPr>
              <w:t>• It also requires deciding what reference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DDB">
              <w:rPr>
                <w:rFonts w:ascii="Arial" w:hAnsi="Arial" w:cs="Arial"/>
                <w:sz w:val="24"/>
                <w:szCs w:val="24"/>
              </w:rPr>
              <w:t>population to show (to the extent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DDB">
              <w:rPr>
                <w:rFonts w:ascii="Arial" w:hAnsi="Arial" w:cs="Arial"/>
                <w:sz w:val="24"/>
                <w:szCs w:val="24"/>
              </w:rPr>
              <w:t>options are available).</w:t>
            </w:r>
          </w:p>
          <w:p w14:paraId="22D73247" w14:textId="1B889F12" w:rsidR="00997CB6" w:rsidRPr="00644CF0" w:rsidRDefault="00997CB6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77DDB">
              <w:rPr>
                <w:rFonts w:ascii="Arial" w:hAnsi="Arial" w:cs="Arial"/>
                <w:sz w:val="24"/>
                <w:szCs w:val="24"/>
              </w:rPr>
              <w:t>• It will need to be explained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DDB">
              <w:rPr>
                <w:rFonts w:ascii="Arial" w:hAnsi="Arial" w:cs="Arial"/>
                <w:sz w:val="24"/>
                <w:szCs w:val="24"/>
              </w:rPr>
              <w:t>patients that this normed population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DDB">
              <w:rPr>
                <w:rFonts w:ascii="Arial" w:hAnsi="Arial" w:cs="Arial"/>
                <w:sz w:val="24"/>
                <w:szCs w:val="24"/>
              </w:rPr>
              <w:t>may not be applicable to a given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DDB">
              <w:rPr>
                <w:rFonts w:ascii="Arial" w:hAnsi="Arial" w:cs="Arial"/>
                <w:sz w:val="24"/>
                <w:szCs w:val="24"/>
              </w:rPr>
              <w:t>patient.</w:t>
            </w:r>
          </w:p>
        </w:tc>
        <w:tc>
          <w:tcPr>
            <w:tcW w:w="1559" w:type="dxa"/>
          </w:tcPr>
          <w:p w14:paraId="34B0A409" w14:textId="77777777" w:rsidR="00997CB6" w:rsidRPr="00644CF0" w:rsidRDefault="00997CB6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B6" w:rsidRPr="00644CF0" w14:paraId="48532B45" w14:textId="77777777" w:rsidTr="004664E5">
        <w:tc>
          <w:tcPr>
            <w:tcW w:w="2694" w:type="dxa"/>
          </w:tcPr>
          <w:p w14:paraId="68BC1C83" w14:textId="77777777" w:rsidR="00997CB6" w:rsidRPr="00C54945" w:rsidRDefault="00997CB6" w:rsidP="0051720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4945">
              <w:rPr>
                <w:rFonts w:ascii="Arial" w:hAnsi="Arial" w:cs="Arial"/>
                <w:b/>
                <w:bCs/>
                <w:sz w:val="24"/>
                <w:szCs w:val="24"/>
              </w:rPr>
              <w:t>Clinically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4945">
              <w:rPr>
                <w:rFonts w:ascii="Arial" w:hAnsi="Arial" w:cs="Arial"/>
                <w:b/>
                <w:bCs/>
                <w:sz w:val="24"/>
                <w:szCs w:val="24"/>
              </w:rPr>
              <w:t>Important</w:t>
            </w:r>
          </w:p>
          <w:p w14:paraId="139EB871" w14:textId="77777777" w:rsidR="00997CB6" w:rsidRPr="00C54945" w:rsidRDefault="00997CB6" w:rsidP="0051720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4945">
              <w:rPr>
                <w:rFonts w:ascii="Arial" w:hAnsi="Arial" w:cs="Arial"/>
                <w:b/>
                <w:bCs/>
                <w:sz w:val="24"/>
                <w:szCs w:val="24"/>
              </w:rPr>
              <w:t>Differences</w:t>
            </w:r>
          </w:p>
        </w:tc>
        <w:tc>
          <w:tcPr>
            <w:tcW w:w="11198" w:type="dxa"/>
          </w:tcPr>
          <w:p w14:paraId="041FB54F" w14:textId="1274F0C2" w:rsidR="00997CB6" w:rsidRPr="00644CF0" w:rsidRDefault="00997CB6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F0EE4">
              <w:rPr>
                <w:rFonts w:ascii="Arial" w:hAnsi="Arial" w:cs="Arial"/>
                <w:sz w:val="24"/>
                <w:szCs w:val="24"/>
              </w:rPr>
              <w:t>Patients may find information regarding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0EE4">
              <w:rPr>
                <w:rFonts w:ascii="Arial" w:hAnsi="Arial" w:cs="Arial"/>
                <w:sz w:val="24"/>
                <w:szCs w:val="24"/>
              </w:rPr>
              <w:t>clinically important differences between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0EE4">
              <w:rPr>
                <w:rFonts w:ascii="Arial" w:hAnsi="Arial" w:cs="Arial"/>
                <w:sz w:val="24"/>
                <w:szCs w:val="24"/>
              </w:rPr>
              <w:t>treatments to be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0EE4">
              <w:rPr>
                <w:rFonts w:ascii="Arial" w:hAnsi="Arial" w:cs="Arial"/>
                <w:sz w:val="24"/>
                <w:szCs w:val="24"/>
              </w:rPr>
              <w:t>confusing, but it 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0EE4">
              <w:rPr>
                <w:rFonts w:ascii="Arial" w:hAnsi="Arial" w:cs="Arial"/>
                <w:sz w:val="24"/>
                <w:szCs w:val="24"/>
              </w:rPr>
              <w:t>important for them to know what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0EE4">
              <w:rPr>
                <w:rFonts w:ascii="Arial" w:hAnsi="Arial" w:cs="Arial"/>
                <w:sz w:val="24"/>
                <w:szCs w:val="24"/>
              </w:rPr>
              <w:t>differences “matter” if they are going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0EE4">
              <w:rPr>
                <w:rFonts w:ascii="Arial" w:hAnsi="Arial" w:cs="Arial"/>
                <w:sz w:val="24"/>
                <w:szCs w:val="24"/>
              </w:rPr>
              <w:t>make an informed decision.</w:t>
            </w:r>
          </w:p>
        </w:tc>
        <w:tc>
          <w:tcPr>
            <w:tcW w:w="1559" w:type="dxa"/>
          </w:tcPr>
          <w:p w14:paraId="4F7B4D59" w14:textId="77777777" w:rsidR="00997CB6" w:rsidRPr="00644CF0" w:rsidRDefault="00997CB6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B6" w:rsidRPr="00644CF0" w14:paraId="1462442F" w14:textId="77777777" w:rsidTr="004664E5">
        <w:tc>
          <w:tcPr>
            <w:tcW w:w="2694" w:type="dxa"/>
          </w:tcPr>
          <w:p w14:paraId="1D9C3660" w14:textId="77777777" w:rsidR="00997CB6" w:rsidRPr="00C54945" w:rsidRDefault="00997CB6" w:rsidP="0051720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4945">
              <w:rPr>
                <w:rFonts w:ascii="Arial" w:hAnsi="Arial" w:cs="Arial"/>
                <w:b/>
                <w:bCs/>
                <w:sz w:val="24"/>
                <w:szCs w:val="24"/>
              </w:rPr>
              <w:t>Proportions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4945">
              <w:rPr>
                <w:rFonts w:ascii="Arial" w:hAnsi="Arial" w:cs="Arial"/>
                <w:b/>
                <w:bCs/>
                <w:sz w:val="24"/>
                <w:szCs w:val="24"/>
              </w:rPr>
              <w:t>Changed</w:t>
            </w:r>
          </w:p>
        </w:tc>
        <w:tc>
          <w:tcPr>
            <w:tcW w:w="11198" w:type="dxa"/>
          </w:tcPr>
          <w:p w14:paraId="331C5592" w14:textId="06543A89" w:rsidR="00997CB6" w:rsidRPr="00644CF0" w:rsidRDefault="00997CB6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67FC0">
              <w:rPr>
                <w:rFonts w:ascii="Arial" w:hAnsi="Arial" w:cs="Arial"/>
                <w:sz w:val="24"/>
                <w:szCs w:val="24"/>
              </w:rPr>
              <w:t>Pie charts are the preferred format for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FC0">
              <w:rPr>
                <w:rFonts w:ascii="Arial" w:hAnsi="Arial" w:cs="Arial"/>
                <w:sz w:val="24"/>
                <w:szCs w:val="24"/>
              </w:rPr>
              <w:t>displaying proportion meeting 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FC0">
              <w:rPr>
                <w:rFonts w:ascii="Arial" w:hAnsi="Arial" w:cs="Arial"/>
                <w:sz w:val="24"/>
                <w:szCs w:val="24"/>
              </w:rPr>
              <w:t>responder definition (improved,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FC0">
              <w:rPr>
                <w:rFonts w:ascii="Arial" w:hAnsi="Arial" w:cs="Arial"/>
                <w:sz w:val="24"/>
                <w:szCs w:val="24"/>
              </w:rPr>
              <w:t>stable, worsened), so long as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FC0">
              <w:rPr>
                <w:rFonts w:ascii="Arial" w:hAnsi="Arial" w:cs="Arial"/>
                <w:sz w:val="24"/>
                <w:szCs w:val="24"/>
              </w:rPr>
              <w:t>proportion is also indicated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FC0">
              <w:rPr>
                <w:rFonts w:ascii="Arial" w:hAnsi="Arial" w:cs="Arial"/>
                <w:sz w:val="24"/>
                <w:szCs w:val="24"/>
              </w:rPr>
              <w:t>numerically.</w:t>
            </w:r>
          </w:p>
        </w:tc>
        <w:tc>
          <w:tcPr>
            <w:tcW w:w="1559" w:type="dxa"/>
          </w:tcPr>
          <w:p w14:paraId="610B950F" w14:textId="77777777" w:rsidR="00997CB6" w:rsidRPr="00644CF0" w:rsidRDefault="00997CB6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F8AABF" w14:textId="77777777" w:rsidR="004664E5" w:rsidRDefault="004664E5" w:rsidP="001D019F">
      <w:pPr>
        <w:rPr>
          <w:rFonts w:ascii="Arial" w:hAnsi="Arial" w:cs="Arial"/>
          <w:b/>
          <w:bCs/>
          <w:sz w:val="36"/>
          <w:szCs w:val="36"/>
        </w:rPr>
        <w:sectPr w:rsidR="004664E5" w:rsidSect="00B41511">
          <w:headerReference w:type="default" r:id="rId10"/>
          <w:footerReference w:type="default" r:id="rId11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2474"/>
        <w:gridCol w:w="1559"/>
      </w:tblGrid>
      <w:tr w:rsidR="00A611AA" w:rsidRPr="00644CF0" w14:paraId="2F51BC68" w14:textId="77777777" w:rsidTr="0051720B">
        <w:trPr>
          <w:trHeight w:val="534"/>
        </w:trPr>
        <w:tc>
          <w:tcPr>
            <w:tcW w:w="2127" w:type="dxa"/>
            <w:shd w:val="clear" w:color="auto" w:fill="002060"/>
            <w:vAlign w:val="center"/>
          </w:tcPr>
          <w:p w14:paraId="3A014E4E" w14:textId="77777777" w:rsidR="00A611AA" w:rsidRPr="00C54945" w:rsidRDefault="00A611AA" w:rsidP="00CF49A5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5494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lastRenderedPageBreak/>
              <w:t>Issue</w:t>
            </w:r>
          </w:p>
        </w:tc>
        <w:tc>
          <w:tcPr>
            <w:tcW w:w="12474" w:type="dxa"/>
            <w:shd w:val="clear" w:color="auto" w:fill="002060"/>
            <w:vAlign w:val="center"/>
          </w:tcPr>
          <w:p w14:paraId="4C6920C2" w14:textId="77777777" w:rsidR="00A611AA" w:rsidRPr="00644CF0" w:rsidRDefault="00A611AA" w:rsidP="00CF49A5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Consensus Statement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772E2DD6" w14:textId="77777777" w:rsidR="00A611AA" w:rsidRDefault="00A611AA" w:rsidP="00CF49A5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Notes/</w:t>
            </w:r>
          </w:p>
          <w:p w14:paraId="781A984D" w14:textId="2F15ECE7" w:rsidR="00A611AA" w:rsidRPr="00644CF0" w:rsidRDefault="00A611AA" w:rsidP="00CF49A5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comments</w:t>
            </w:r>
          </w:p>
        </w:tc>
      </w:tr>
      <w:tr w:rsidR="00A611AA" w:rsidRPr="00644CF0" w14:paraId="345E1AFA" w14:textId="77777777" w:rsidTr="0051720B">
        <w:tc>
          <w:tcPr>
            <w:tcW w:w="2127" w:type="dxa"/>
          </w:tcPr>
          <w:p w14:paraId="7A8C7351" w14:textId="4FCB6635" w:rsidR="00A611AA" w:rsidRPr="00C54945" w:rsidRDefault="00A611AA" w:rsidP="0051720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4945">
              <w:rPr>
                <w:rFonts w:ascii="Arial" w:hAnsi="Arial" w:cs="Arial"/>
                <w:b/>
                <w:bCs/>
                <w:sz w:val="24"/>
                <w:szCs w:val="24"/>
              </w:rPr>
              <w:t>Directionality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4945">
              <w:rPr>
                <w:rFonts w:ascii="Arial" w:hAnsi="Arial" w:cs="Arial"/>
                <w:b/>
                <w:bCs/>
                <w:sz w:val="24"/>
                <w:szCs w:val="24"/>
              </w:rPr>
              <w:t>of PRO Scores</w:t>
            </w:r>
          </w:p>
        </w:tc>
        <w:tc>
          <w:tcPr>
            <w:tcW w:w="12474" w:type="dxa"/>
          </w:tcPr>
          <w:p w14:paraId="050C338C" w14:textId="44940EA9" w:rsidR="00A611AA" w:rsidRDefault="00A611AA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A2477">
              <w:rPr>
                <w:rFonts w:ascii="Arial" w:hAnsi="Arial" w:cs="Arial"/>
                <w:sz w:val="24"/>
                <w:szCs w:val="24"/>
              </w:rPr>
              <w:t>PRO data presentation should avoid mixing score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2477">
              <w:rPr>
                <w:rFonts w:ascii="Arial" w:hAnsi="Arial" w:cs="Arial"/>
                <w:sz w:val="24"/>
                <w:szCs w:val="24"/>
              </w:rPr>
              <w:t>direction in a single display. In cases where this is</w:t>
            </w:r>
            <w:r w:rsidR="005172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2477">
              <w:rPr>
                <w:rFonts w:ascii="Arial" w:hAnsi="Arial" w:cs="Arial"/>
                <w:sz w:val="24"/>
                <w:szCs w:val="24"/>
              </w:rPr>
              <w:t>not possible, authors should consider changing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2477">
              <w:rPr>
                <w:rFonts w:ascii="Arial" w:hAnsi="Arial" w:cs="Arial"/>
                <w:sz w:val="24"/>
                <w:szCs w:val="24"/>
              </w:rPr>
              <w:t>directionality in the display to be consistent.</w:t>
            </w:r>
          </w:p>
          <w:p w14:paraId="1C99E59A" w14:textId="1ACF58FC" w:rsidR="00A611AA" w:rsidRPr="00644CF0" w:rsidRDefault="00A611AA" w:rsidP="0051720B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24B4A">
              <w:rPr>
                <w:rFonts w:ascii="Arial" w:eastAsia="Calibri" w:hAnsi="Arial" w:cs="Arial"/>
                <w:sz w:val="24"/>
                <w:szCs w:val="24"/>
              </w:rPr>
              <w:t>There is a need for exceptionally clear labelling,</w:t>
            </w:r>
            <w:r w:rsidR="0038136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24B4A">
              <w:rPr>
                <w:rFonts w:ascii="Arial" w:eastAsia="Calibri" w:hAnsi="Arial" w:cs="Arial"/>
                <w:sz w:val="24"/>
                <w:szCs w:val="24"/>
              </w:rPr>
              <w:t>titling, and other annotations.</w:t>
            </w:r>
          </w:p>
        </w:tc>
        <w:tc>
          <w:tcPr>
            <w:tcW w:w="1559" w:type="dxa"/>
          </w:tcPr>
          <w:p w14:paraId="5709F739" w14:textId="77777777" w:rsidR="00A611AA" w:rsidRPr="00644CF0" w:rsidRDefault="00A611AA" w:rsidP="0051720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11AA" w:rsidRPr="00644CF0" w14:paraId="03F52ACA" w14:textId="77777777" w:rsidTr="0051720B">
        <w:tc>
          <w:tcPr>
            <w:tcW w:w="2127" w:type="dxa"/>
          </w:tcPr>
          <w:p w14:paraId="193DB76C" w14:textId="77777777" w:rsidR="00A611AA" w:rsidRPr="00C54945" w:rsidRDefault="00A611AA" w:rsidP="0051720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4945">
              <w:rPr>
                <w:rFonts w:ascii="Arial" w:hAnsi="Arial" w:cs="Arial"/>
                <w:b/>
                <w:bCs/>
                <w:sz w:val="24"/>
                <w:szCs w:val="24"/>
              </w:rPr>
              <w:t>Conveying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4945">
              <w:rPr>
                <w:rFonts w:ascii="Arial" w:hAnsi="Arial" w:cs="Arial"/>
                <w:b/>
                <w:bCs/>
                <w:sz w:val="24"/>
                <w:szCs w:val="24"/>
              </w:rPr>
              <w:t>Score Meaning</w:t>
            </w:r>
          </w:p>
        </w:tc>
        <w:tc>
          <w:tcPr>
            <w:tcW w:w="12474" w:type="dxa"/>
          </w:tcPr>
          <w:p w14:paraId="2BDE1CF8" w14:textId="77777777" w:rsidR="00A611AA" w:rsidRDefault="00A611AA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D241A">
              <w:rPr>
                <w:rFonts w:ascii="Arial" w:hAnsi="Arial" w:cs="Arial"/>
                <w:sz w:val="24"/>
                <w:szCs w:val="24"/>
              </w:rPr>
              <w:t>Descriptive labels (e.g., none/mild/moderate/severe) along the y-axis are helpful and should be used when data supporting their location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241A">
              <w:rPr>
                <w:rFonts w:ascii="Arial" w:hAnsi="Arial" w:cs="Arial"/>
                <w:sz w:val="24"/>
                <w:szCs w:val="24"/>
              </w:rPr>
              <w:t>on the scale are available.</w:t>
            </w:r>
          </w:p>
          <w:p w14:paraId="3476E831" w14:textId="77777777" w:rsidR="00A611AA" w:rsidRPr="00644CF0" w:rsidRDefault="00A611AA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20F44">
              <w:rPr>
                <w:rFonts w:ascii="Arial" w:hAnsi="Arial" w:cs="Arial"/>
                <w:sz w:val="24"/>
                <w:szCs w:val="24"/>
              </w:rPr>
              <w:t>In addition to the descriptive y-axis labels, reference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0F44">
              <w:rPr>
                <w:rFonts w:ascii="Arial" w:hAnsi="Arial" w:cs="Arial"/>
                <w:sz w:val="24"/>
                <w:szCs w:val="24"/>
              </w:rPr>
              <w:t>values for comparison populations should be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0F44">
              <w:rPr>
                <w:rFonts w:ascii="Arial" w:hAnsi="Arial" w:cs="Arial"/>
                <w:sz w:val="24"/>
                <w:szCs w:val="24"/>
              </w:rPr>
              <w:t>considered for inclusion if they are available.</w:t>
            </w:r>
          </w:p>
        </w:tc>
        <w:tc>
          <w:tcPr>
            <w:tcW w:w="1559" w:type="dxa"/>
          </w:tcPr>
          <w:p w14:paraId="50B67D63" w14:textId="77777777" w:rsidR="00A611AA" w:rsidRPr="00644CF0" w:rsidRDefault="00A611AA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1AA" w:rsidRPr="00644CF0" w14:paraId="730080C3" w14:textId="77777777" w:rsidTr="0051720B">
        <w:tc>
          <w:tcPr>
            <w:tcW w:w="2127" w:type="dxa"/>
          </w:tcPr>
          <w:p w14:paraId="6F774978" w14:textId="77777777" w:rsidR="00A611AA" w:rsidRPr="008C61B2" w:rsidRDefault="00A611AA" w:rsidP="0051720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1B2">
              <w:rPr>
                <w:rFonts w:ascii="Arial" w:hAnsi="Arial" w:cs="Arial"/>
                <w:b/>
                <w:bCs/>
                <w:sz w:val="24"/>
                <w:szCs w:val="24"/>
              </w:rPr>
              <w:t>Normed Scoring</w:t>
            </w:r>
          </w:p>
        </w:tc>
        <w:tc>
          <w:tcPr>
            <w:tcW w:w="12474" w:type="dxa"/>
          </w:tcPr>
          <w:p w14:paraId="3B8A0F58" w14:textId="332E0C1D" w:rsidR="00A611AA" w:rsidRPr="008C61B2" w:rsidRDefault="00A611AA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C61B2">
              <w:rPr>
                <w:rFonts w:ascii="Arial" w:hAnsi="Arial" w:cs="Arial"/>
                <w:sz w:val="24"/>
                <w:szCs w:val="24"/>
              </w:rPr>
              <w:t>PRO data presentation needs to accommodate instruments the way they were developed, with or without normed scoring.</w:t>
            </w:r>
          </w:p>
          <w:p w14:paraId="0355650A" w14:textId="08939652" w:rsidR="000904F2" w:rsidRPr="008C61B2" w:rsidRDefault="00A611AA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C61B2">
              <w:rPr>
                <w:rFonts w:ascii="Arial" w:hAnsi="Arial" w:cs="Arial"/>
                <w:sz w:val="24"/>
                <w:szCs w:val="24"/>
              </w:rPr>
              <w:t>One can decide if/when to show the reference population norm visually (e.g., with a line on the graph), understanding that displaying it might provide additional interpretive value, but potentially at the cost of greater complexity.</w:t>
            </w:r>
          </w:p>
          <w:p w14:paraId="76004D56" w14:textId="7E11E1DB" w:rsidR="00A611AA" w:rsidRDefault="00A611AA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31740">
              <w:rPr>
                <w:rFonts w:ascii="Arial" w:hAnsi="Arial" w:cs="Arial"/>
                <w:sz w:val="24"/>
                <w:szCs w:val="24"/>
              </w:rPr>
              <w:t>Display of</w:t>
            </w:r>
            <w:r w:rsidRPr="008C61B2">
              <w:rPr>
                <w:rFonts w:ascii="Arial" w:hAnsi="Arial" w:cs="Arial"/>
                <w:sz w:val="24"/>
                <w:szCs w:val="24"/>
              </w:rPr>
              <w:t xml:space="preserve"> the norm might be less relevant in the context where the primary focus is the choice between treatments.</w:t>
            </w:r>
          </w:p>
          <w:p w14:paraId="1E8EC4AE" w14:textId="77777777" w:rsidR="00A611AA" w:rsidRPr="008C61B2" w:rsidRDefault="00A611AA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C61B2">
              <w:rPr>
                <w:rFonts w:ascii="Arial" w:hAnsi="Arial" w:cs="Arial"/>
                <w:sz w:val="24"/>
                <w:szCs w:val="24"/>
              </w:rPr>
              <w:t>If a norm is displayed:</w:t>
            </w:r>
          </w:p>
          <w:p w14:paraId="5B391A6D" w14:textId="53251C8F" w:rsidR="00A611AA" w:rsidRPr="008C61B2" w:rsidRDefault="00A611AA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C61B2">
              <w:rPr>
                <w:rFonts w:ascii="Arial" w:hAnsi="Arial" w:cs="Arial"/>
                <w:sz w:val="24"/>
                <w:szCs w:val="24"/>
              </w:rPr>
              <w:t>• It is necessary to describe the reference population and label the norm as clearly as possible (recommend “average” rather</w:t>
            </w:r>
            <w:r w:rsidR="008C61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61B2">
              <w:rPr>
                <w:rFonts w:ascii="Arial" w:hAnsi="Arial" w:cs="Arial"/>
                <w:sz w:val="24"/>
                <w:szCs w:val="24"/>
              </w:rPr>
              <w:t>than “norm”)</w:t>
            </w:r>
          </w:p>
          <w:p w14:paraId="504446DD" w14:textId="3CBE0247" w:rsidR="00A611AA" w:rsidRPr="008C61B2" w:rsidRDefault="00A611AA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C61B2">
              <w:rPr>
                <w:rFonts w:ascii="Arial" w:hAnsi="Arial" w:cs="Arial"/>
                <w:sz w:val="24"/>
                <w:szCs w:val="24"/>
              </w:rPr>
              <w:t>• It also requires deciding what reference population to show (to the extent that options are available).</w:t>
            </w:r>
          </w:p>
        </w:tc>
        <w:tc>
          <w:tcPr>
            <w:tcW w:w="1559" w:type="dxa"/>
          </w:tcPr>
          <w:p w14:paraId="665F59AF" w14:textId="77777777" w:rsidR="00A611AA" w:rsidRPr="00644CF0" w:rsidRDefault="00A611AA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1AA" w:rsidRPr="00644CF0" w14:paraId="79F816CB" w14:textId="77777777" w:rsidTr="0051720B">
        <w:tc>
          <w:tcPr>
            <w:tcW w:w="2127" w:type="dxa"/>
          </w:tcPr>
          <w:p w14:paraId="33EE2D58" w14:textId="77777777" w:rsidR="00A611AA" w:rsidRPr="00C54945" w:rsidRDefault="00A611AA" w:rsidP="0051720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4945">
              <w:rPr>
                <w:rFonts w:ascii="Arial" w:hAnsi="Arial" w:cs="Arial"/>
                <w:b/>
                <w:bCs/>
                <w:sz w:val="24"/>
                <w:szCs w:val="24"/>
              </w:rPr>
              <w:t>Clinically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4945">
              <w:rPr>
                <w:rFonts w:ascii="Arial" w:hAnsi="Arial" w:cs="Arial"/>
                <w:b/>
                <w:bCs/>
                <w:sz w:val="24"/>
                <w:szCs w:val="24"/>
              </w:rPr>
              <w:t>Important</w:t>
            </w:r>
          </w:p>
          <w:p w14:paraId="534E6A86" w14:textId="77777777" w:rsidR="00A611AA" w:rsidRPr="00C54945" w:rsidRDefault="00A611AA" w:rsidP="0051720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4945">
              <w:rPr>
                <w:rFonts w:ascii="Arial" w:hAnsi="Arial" w:cs="Arial"/>
                <w:b/>
                <w:bCs/>
                <w:sz w:val="24"/>
                <w:szCs w:val="24"/>
              </w:rPr>
              <w:t>Differences</w:t>
            </w:r>
          </w:p>
        </w:tc>
        <w:tc>
          <w:tcPr>
            <w:tcW w:w="12474" w:type="dxa"/>
          </w:tcPr>
          <w:p w14:paraId="66C6ED49" w14:textId="57ED0137" w:rsidR="00A611AA" w:rsidRDefault="00A611AA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A531E">
              <w:rPr>
                <w:rFonts w:ascii="Arial" w:hAnsi="Arial" w:cs="Arial"/>
                <w:sz w:val="24"/>
                <w:szCs w:val="24"/>
              </w:rPr>
              <w:t>Clinically important differences between treatments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531E">
              <w:rPr>
                <w:rFonts w:ascii="Arial" w:hAnsi="Arial" w:cs="Arial"/>
                <w:sz w:val="24"/>
                <w:szCs w:val="24"/>
              </w:rPr>
              <w:t>should be indicated with a symbol of some sort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531E">
              <w:rPr>
                <w:rFonts w:ascii="Arial" w:hAnsi="Arial" w:cs="Arial"/>
                <w:sz w:val="24"/>
                <w:szCs w:val="24"/>
              </w:rPr>
              <w:t>(described in a legend). The use of an asterisk is not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531E">
              <w:rPr>
                <w:rFonts w:ascii="Arial" w:hAnsi="Arial" w:cs="Arial"/>
                <w:sz w:val="24"/>
                <w:szCs w:val="24"/>
              </w:rPr>
              <w:t>recommended (as it is often used to indicate statistical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531E">
              <w:rPr>
                <w:rFonts w:ascii="Arial" w:hAnsi="Arial" w:cs="Arial"/>
                <w:sz w:val="24"/>
                <w:szCs w:val="24"/>
              </w:rPr>
              <w:t>significance).</w:t>
            </w:r>
          </w:p>
          <w:p w14:paraId="7F5B4643" w14:textId="5FDDCFD2" w:rsidR="00A611AA" w:rsidRPr="00644CF0" w:rsidRDefault="00A611AA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D7B35">
              <w:rPr>
                <w:rFonts w:ascii="Arial" w:hAnsi="Arial" w:cs="Arial"/>
                <w:sz w:val="24"/>
                <w:szCs w:val="24"/>
              </w:rPr>
              <w:t>If there is no defined clinically important difference,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7B35">
              <w:rPr>
                <w:rFonts w:ascii="Arial" w:hAnsi="Arial" w:cs="Arial"/>
                <w:sz w:val="24"/>
                <w:szCs w:val="24"/>
              </w:rPr>
              <w:t>that also needs to be in the legend and/or the text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7B35">
              <w:rPr>
                <w:rFonts w:ascii="Arial" w:hAnsi="Arial" w:cs="Arial"/>
                <w:sz w:val="24"/>
                <w:szCs w:val="24"/>
              </w:rPr>
              <w:t>the paper.</w:t>
            </w:r>
          </w:p>
        </w:tc>
        <w:tc>
          <w:tcPr>
            <w:tcW w:w="1559" w:type="dxa"/>
          </w:tcPr>
          <w:p w14:paraId="6BA37CD0" w14:textId="77777777" w:rsidR="00A611AA" w:rsidRPr="00644CF0" w:rsidRDefault="00A611AA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1AA" w:rsidRPr="00644CF0" w14:paraId="6AEE91E5" w14:textId="77777777" w:rsidTr="0051720B">
        <w:tc>
          <w:tcPr>
            <w:tcW w:w="2127" w:type="dxa"/>
          </w:tcPr>
          <w:p w14:paraId="05F34B18" w14:textId="77777777" w:rsidR="00A611AA" w:rsidRPr="00C54945" w:rsidRDefault="00A611AA" w:rsidP="0051720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4945">
              <w:rPr>
                <w:rFonts w:ascii="Arial" w:hAnsi="Arial" w:cs="Arial"/>
                <w:b/>
                <w:bCs/>
                <w:sz w:val="24"/>
                <w:szCs w:val="24"/>
              </w:rPr>
              <w:t>Conveying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4945">
              <w:rPr>
                <w:rFonts w:ascii="Arial" w:hAnsi="Arial" w:cs="Arial"/>
                <w:b/>
                <w:bCs/>
                <w:sz w:val="24"/>
                <w:szCs w:val="24"/>
              </w:rPr>
              <w:t>Statistical</w:t>
            </w:r>
          </w:p>
          <w:p w14:paraId="61947EAE" w14:textId="77777777" w:rsidR="00A611AA" w:rsidRPr="00C54945" w:rsidRDefault="00A611AA" w:rsidP="0051720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4945">
              <w:rPr>
                <w:rFonts w:ascii="Arial" w:hAnsi="Arial" w:cs="Arial"/>
                <w:b/>
                <w:bCs/>
                <w:sz w:val="24"/>
                <w:szCs w:val="24"/>
              </w:rPr>
              <w:t>Significance</w:t>
            </w:r>
          </w:p>
        </w:tc>
        <w:tc>
          <w:tcPr>
            <w:tcW w:w="12474" w:type="dxa"/>
          </w:tcPr>
          <w:p w14:paraId="0298AD65" w14:textId="4F678557" w:rsidR="00A611AA" w:rsidRPr="00644CF0" w:rsidRDefault="00A611AA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B37C7">
              <w:rPr>
                <w:rFonts w:ascii="Arial" w:hAnsi="Arial" w:cs="Arial"/>
                <w:sz w:val="24"/>
                <w:szCs w:val="24"/>
              </w:rPr>
              <w:t>The data suggest that clinicians and others appreciate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37C7">
              <w:rPr>
                <w:rFonts w:ascii="Arial" w:hAnsi="Arial" w:cs="Arial"/>
                <w:sz w:val="24"/>
                <w:szCs w:val="24"/>
              </w:rPr>
              <w:t>p-values; however, the Consensus Panel recognizes 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37C7">
              <w:rPr>
                <w:rFonts w:ascii="Arial" w:hAnsi="Arial" w:cs="Arial"/>
                <w:sz w:val="24"/>
                <w:szCs w:val="24"/>
              </w:rPr>
              <w:t>move away from reporting them (and toward the use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37C7">
              <w:rPr>
                <w:rFonts w:ascii="Arial" w:hAnsi="Arial" w:cs="Arial"/>
                <w:sz w:val="24"/>
                <w:szCs w:val="24"/>
              </w:rPr>
              <w:t>of confidence limits to illustrate statistical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37C7">
              <w:rPr>
                <w:rFonts w:ascii="Arial" w:hAnsi="Arial" w:cs="Arial"/>
                <w:sz w:val="24"/>
                <w:szCs w:val="24"/>
              </w:rPr>
              <w:t>significance). Regardless of whether p-values are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37C7">
              <w:rPr>
                <w:rFonts w:ascii="Arial" w:hAnsi="Arial" w:cs="Arial"/>
                <w:sz w:val="24"/>
                <w:szCs w:val="24"/>
              </w:rPr>
              <w:t>reported, confidence intervals should</w:t>
            </w:r>
            <w:r w:rsidR="00DE6F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37C7">
              <w:rPr>
                <w:rFonts w:ascii="Arial" w:hAnsi="Arial" w:cs="Arial"/>
                <w:sz w:val="24"/>
                <w:szCs w:val="24"/>
              </w:rPr>
              <w:t>always be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37C7">
              <w:rPr>
                <w:rFonts w:ascii="Arial" w:hAnsi="Arial" w:cs="Arial"/>
                <w:sz w:val="24"/>
                <w:szCs w:val="24"/>
              </w:rPr>
              <w:t>displayed.</w:t>
            </w:r>
          </w:p>
        </w:tc>
        <w:tc>
          <w:tcPr>
            <w:tcW w:w="1559" w:type="dxa"/>
          </w:tcPr>
          <w:p w14:paraId="3640B1B7" w14:textId="77777777" w:rsidR="00A611AA" w:rsidRPr="00644CF0" w:rsidRDefault="00A611AA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1AA" w:rsidRPr="00644CF0" w14:paraId="39FD5437" w14:textId="77777777" w:rsidTr="0051720B">
        <w:trPr>
          <w:trHeight w:val="354"/>
        </w:trPr>
        <w:tc>
          <w:tcPr>
            <w:tcW w:w="2127" w:type="dxa"/>
          </w:tcPr>
          <w:p w14:paraId="5D5FFBEB" w14:textId="77777777" w:rsidR="00A611AA" w:rsidRPr="00C54945" w:rsidRDefault="00A611AA" w:rsidP="0051720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4945">
              <w:rPr>
                <w:rFonts w:ascii="Arial" w:hAnsi="Arial" w:cs="Arial"/>
                <w:b/>
                <w:bCs/>
                <w:sz w:val="24"/>
                <w:szCs w:val="24"/>
              </w:rPr>
              <w:t>Proportions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4945">
              <w:rPr>
                <w:rFonts w:ascii="Arial" w:hAnsi="Arial" w:cs="Arial"/>
                <w:b/>
                <w:bCs/>
                <w:sz w:val="24"/>
                <w:szCs w:val="24"/>
              </w:rPr>
              <w:t>Changed</w:t>
            </w:r>
          </w:p>
        </w:tc>
        <w:tc>
          <w:tcPr>
            <w:tcW w:w="12474" w:type="dxa"/>
          </w:tcPr>
          <w:p w14:paraId="638A32AD" w14:textId="30DB2C85" w:rsidR="00A611AA" w:rsidRPr="00644CF0" w:rsidRDefault="00A611AA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8246C">
              <w:rPr>
                <w:rFonts w:ascii="Arial" w:hAnsi="Arial" w:cs="Arial"/>
                <w:sz w:val="24"/>
                <w:szCs w:val="24"/>
              </w:rPr>
              <w:t>Reasonable options include bar charts, pie charts,</w:t>
            </w:r>
            <w:r w:rsidR="00DE6F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246C">
              <w:rPr>
                <w:rFonts w:ascii="Arial" w:hAnsi="Arial" w:cs="Arial"/>
                <w:sz w:val="24"/>
                <w:szCs w:val="24"/>
              </w:rPr>
              <w:t>or stacked bar charts</w:t>
            </w:r>
            <w:r w:rsidR="005379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7C70AFD" w14:textId="77777777" w:rsidR="00A611AA" w:rsidRPr="00644CF0" w:rsidRDefault="00A611AA" w:rsidP="005172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98F7CD" w14:textId="286349D0" w:rsidR="0051720B" w:rsidRPr="0051720B" w:rsidRDefault="0051720B" w:rsidP="0051720B">
      <w:pPr>
        <w:tabs>
          <w:tab w:val="left" w:pos="6030"/>
        </w:tabs>
        <w:rPr>
          <w:sz w:val="2"/>
          <w:szCs w:val="2"/>
        </w:rPr>
      </w:pPr>
    </w:p>
    <w:sectPr w:rsidR="0051720B" w:rsidRPr="0051720B" w:rsidSect="008D65EF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641C6" w14:textId="77777777" w:rsidR="00A10BD3" w:rsidRDefault="00A10BD3" w:rsidP="00B52D51">
      <w:pPr>
        <w:spacing w:after="0" w:line="240" w:lineRule="auto"/>
      </w:pPr>
      <w:r>
        <w:separator/>
      </w:r>
    </w:p>
  </w:endnote>
  <w:endnote w:type="continuationSeparator" w:id="0">
    <w:p w14:paraId="05EFCD4A" w14:textId="77777777" w:rsidR="00A10BD3" w:rsidRDefault="00A10BD3" w:rsidP="00B5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96C67" w14:textId="066A679E" w:rsidR="000904F2" w:rsidRDefault="000904F2">
    <w:pPr>
      <w:pStyle w:val="Footer"/>
    </w:pPr>
    <w:r w:rsidRPr="000904F2">
      <w:t xml:space="preserve">Snyder C, Smith K, </w:t>
    </w:r>
    <w:proofErr w:type="spellStart"/>
    <w:r w:rsidRPr="000904F2">
      <w:t>Holzner</w:t>
    </w:r>
    <w:proofErr w:type="spellEnd"/>
    <w:r w:rsidRPr="000904F2">
      <w:t xml:space="preserve"> B, et al. </w:t>
    </w:r>
    <w:proofErr w:type="gramStart"/>
    <w:r w:rsidRPr="000904F2">
      <w:t>Making a picture</w:t>
    </w:r>
    <w:proofErr w:type="gramEnd"/>
    <w:r w:rsidRPr="000904F2">
      <w:t xml:space="preserve"> worth a thousand numbers: recommendations for graphically displaying patient-reported outcomes data. </w:t>
    </w:r>
    <w:r w:rsidRPr="000904F2">
      <w:rPr>
        <w:i/>
        <w:iCs/>
      </w:rPr>
      <w:t>Qual Life Res</w:t>
    </w:r>
    <w:r w:rsidRPr="000904F2">
      <w:t>. 2019;28(2):345-356. doi:10.1007/s11136-018-2020-3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B87E6" w14:textId="77777777" w:rsidR="00A10BD3" w:rsidRDefault="00A10BD3" w:rsidP="00B52D51">
      <w:pPr>
        <w:spacing w:after="0" w:line="240" w:lineRule="auto"/>
      </w:pPr>
      <w:r>
        <w:separator/>
      </w:r>
    </w:p>
  </w:footnote>
  <w:footnote w:type="continuationSeparator" w:id="0">
    <w:p w14:paraId="282D403C" w14:textId="77777777" w:rsidR="00A10BD3" w:rsidRDefault="00A10BD3" w:rsidP="00B5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B4620" w14:textId="33C88D2F" w:rsidR="003916FA" w:rsidRPr="00B41511" w:rsidRDefault="003916FA" w:rsidP="00B41511">
    <w:pPr>
      <w:pStyle w:val="Header"/>
    </w:pPr>
    <w:r w:rsidRPr="00B41511">
      <w:rPr>
        <w:rFonts w:ascii="Arial" w:hAnsi="Arial" w:cs="Arial"/>
        <w:b/>
        <w:bCs/>
        <w:sz w:val="36"/>
        <w:szCs w:val="36"/>
      </w:rPr>
      <w:t>PRO Data Display Guidance Checklist</w:t>
    </w:r>
    <w:r>
      <w:rPr>
        <w:rFonts w:ascii="Arial" w:hAnsi="Arial" w:cs="Arial"/>
        <w:b/>
        <w:bCs/>
        <w:sz w:val="36"/>
        <w:szCs w:val="36"/>
      </w:rPr>
      <w:t xml:space="preserve">: </w:t>
    </w:r>
    <w:r w:rsidRPr="001D019F">
      <w:rPr>
        <w:rFonts w:ascii="Arial" w:hAnsi="Arial" w:cs="Arial"/>
        <w:b/>
        <w:bCs/>
        <w:sz w:val="36"/>
        <w:szCs w:val="36"/>
      </w:rPr>
      <w:t>Research Results Presented to Patients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C7DFA" w14:textId="62EAE193" w:rsidR="0087711F" w:rsidRPr="00537971" w:rsidRDefault="00537971" w:rsidP="00537971">
    <w:pPr>
      <w:pStyle w:val="Header"/>
    </w:pPr>
    <w:r w:rsidRPr="00B41511">
      <w:rPr>
        <w:rFonts w:ascii="Arial" w:hAnsi="Arial" w:cs="Arial"/>
        <w:b/>
        <w:bCs/>
        <w:sz w:val="36"/>
        <w:szCs w:val="36"/>
      </w:rPr>
      <w:t>PRO Data Display Guidance Checklist</w:t>
    </w:r>
    <w:r>
      <w:rPr>
        <w:rFonts w:ascii="Arial" w:hAnsi="Arial" w:cs="Arial"/>
        <w:b/>
        <w:bCs/>
        <w:sz w:val="36"/>
        <w:szCs w:val="36"/>
      </w:rPr>
      <w:t xml:space="preserve">: </w:t>
    </w:r>
    <w:r w:rsidRPr="001D019F">
      <w:rPr>
        <w:rFonts w:ascii="Arial" w:hAnsi="Arial" w:cs="Arial"/>
        <w:b/>
        <w:bCs/>
        <w:sz w:val="36"/>
        <w:szCs w:val="36"/>
      </w:rPr>
      <w:t xml:space="preserve">Research Results Presented to </w:t>
    </w:r>
    <w:r>
      <w:rPr>
        <w:rFonts w:ascii="Arial" w:hAnsi="Arial" w:cs="Arial"/>
        <w:b/>
        <w:bCs/>
        <w:sz w:val="36"/>
        <w:szCs w:val="36"/>
      </w:rPr>
      <w:t>Clinicians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A24D8"/>
    <w:multiLevelType w:val="hybridMultilevel"/>
    <w:tmpl w:val="D1262B08"/>
    <w:lvl w:ilvl="0" w:tplc="2710D71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5335AF"/>
    <w:multiLevelType w:val="hybridMultilevel"/>
    <w:tmpl w:val="2E0A97E0"/>
    <w:lvl w:ilvl="0" w:tplc="CABAE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0D"/>
    <w:rsid w:val="00010E96"/>
    <w:rsid w:val="00011AC6"/>
    <w:rsid w:val="00013B2C"/>
    <w:rsid w:val="00016A0D"/>
    <w:rsid w:val="00020DCA"/>
    <w:rsid w:val="00037ED8"/>
    <w:rsid w:val="0004249A"/>
    <w:rsid w:val="00047203"/>
    <w:rsid w:val="00054A6A"/>
    <w:rsid w:val="00054E96"/>
    <w:rsid w:val="0006040D"/>
    <w:rsid w:val="00073022"/>
    <w:rsid w:val="0007515F"/>
    <w:rsid w:val="00085CA8"/>
    <w:rsid w:val="000904F2"/>
    <w:rsid w:val="00095936"/>
    <w:rsid w:val="000968BF"/>
    <w:rsid w:val="000973D1"/>
    <w:rsid w:val="000A26FF"/>
    <w:rsid w:val="000A7350"/>
    <w:rsid w:val="000B6911"/>
    <w:rsid w:val="000C1E53"/>
    <w:rsid w:val="000D3EC4"/>
    <w:rsid w:val="000D6C6D"/>
    <w:rsid w:val="000E49EE"/>
    <w:rsid w:val="000F4076"/>
    <w:rsid w:val="00102481"/>
    <w:rsid w:val="00104ACE"/>
    <w:rsid w:val="00104B38"/>
    <w:rsid w:val="001069F0"/>
    <w:rsid w:val="00123A91"/>
    <w:rsid w:val="00132E73"/>
    <w:rsid w:val="00135B4A"/>
    <w:rsid w:val="00141808"/>
    <w:rsid w:val="00144E1B"/>
    <w:rsid w:val="00144E89"/>
    <w:rsid w:val="00172BD5"/>
    <w:rsid w:val="001736D0"/>
    <w:rsid w:val="00187D76"/>
    <w:rsid w:val="00194813"/>
    <w:rsid w:val="00197AC5"/>
    <w:rsid w:val="001C49AD"/>
    <w:rsid w:val="001D019F"/>
    <w:rsid w:val="001D3C2C"/>
    <w:rsid w:val="001D7D99"/>
    <w:rsid w:val="001E59FA"/>
    <w:rsid w:val="001E7832"/>
    <w:rsid w:val="002020ED"/>
    <w:rsid w:val="00206A89"/>
    <w:rsid w:val="002176A4"/>
    <w:rsid w:val="00221ED2"/>
    <w:rsid w:val="00223427"/>
    <w:rsid w:val="00223A3F"/>
    <w:rsid w:val="00232D24"/>
    <w:rsid w:val="002332AE"/>
    <w:rsid w:val="00235883"/>
    <w:rsid w:val="00244E72"/>
    <w:rsid w:val="00247256"/>
    <w:rsid w:val="00253F85"/>
    <w:rsid w:val="0026142F"/>
    <w:rsid w:val="00265480"/>
    <w:rsid w:val="00267234"/>
    <w:rsid w:val="0027428F"/>
    <w:rsid w:val="002764C0"/>
    <w:rsid w:val="00284FBE"/>
    <w:rsid w:val="002B0497"/>
    <w:rsid w:val="002B4B13"/>
    <w:rsid w:val="002C4CC0"/>
    <w:rsid w:val="002C6022"/>
    <w:rsid w:val="002D7D96"/>
    <w:rsid w:val="002E31C0"/>
    <w:rsid w:val="002E337B"/>
    <w:rsid w:val="002F05B6"/>
    <w:rsid w:val="002F5F89"/>
    <w:rsid w:val="002F6D96"/>
    <w:rsid w:val="002F6F81"/>
    <w:rsid w:val="003009B0"/>
    <w:rsid w:val="003037CD"/>
    <w:rsid w:val="003117D1"/>
    <w:rsid w:val="003246B2"/>
    <w:rsid w:val="0032737D"/>
    <w:rsid w:val="003301C8"/>
    <w:rsid w:val="00332937"/>
    <w:rsid w:val="00345987"/>
    <w:rsid w:val="00350EEE"/>
    <w:rsid w:val="00357329"/>
    <w:rsid w:val="00357BD7"/>
    <w:rsid w:val="003600EF"/>
    <w:rsid w:val="00360319"/>
    <w:rsid w:val="00363340"/>
    <w:rsid w:val="00366AF2"/>
    <w:rsid w:val="00374E22"/>
    <w:rsid w:val="003775BB"/>
    <w:rsid w:val="00377DDB"/>
    <w:rsid w:val="00381361"/>
    <w:rsid w:val="00387722"/>
    <w:rsid w:val="0039008D"/>
    <w:rsid w:val="003916FA"/>
    <w:rsid w:val="0039303A"/>
    <w:rsid w:val="003957A8"/>
    <w:rsid w:val="00397FE0"/>
    <w:rsid w:val="003A0059"/>
    <w:rsid w:val="003A2652"/>
    <w:rsid w:val="003A712D"/>
    <w:rsid w:val="003B4B24"/>
    <w:rsid w:val="003B5504"/>
    <w:rsid w:val="003C51E9"/>
    <w:rsid w:val="003D5ADE"/>
    <w:rsid w:val="003E1D3A"/>
    <w:rsid w:val="00423FCA"/>
    <w:rsid w:val="00443BAD"/>
    <w:rsid w:val="004532F1"/>
    <w:rsid w:val="00463D84"/>
    <w:rsid w:val="004664E5"/>
    <w:rsid w:val="00467FC0"/>
    <w:rsid w:val="00475E78"/>
    <w:rsid w:val="00481587"/>
    <w:rsid w:val="00481C9A"/>
    <w:rsid w:val="0049490F"/>
    <w:rsid w:val="00496DDD"/>
    <w:rsid w:val="004B5F2F"/>
    <w:rsid w:val="004C0430"/>
    <w:rsid w:val="004D05F9"/>
    <w:rsid w:val="004D0F27"/>
    <w:rsid w:val="004D5355"/>
    <w:rsid w:val="004D7B35"/>
    <w:rsid w:val="004F0570"/>
    <w:rsid w:val="00505706"/>
    <w:rsid w:val="00506B9A"/>
    <w:rsid w:val="0051720B"/>
    <w:rsid w:val="00533FC6"/>
    <w:rsid w:val="00537971"/>
    <w:rsid w:val="005420B7"/>
    <w:rsid w:val="00556BC8"/>
    <w:rsid w:val="0058527F"/>
    <w:rsid w:val="00591263"/>
    <w:rsid w:val="00593B31"/>
    <w:rsid w:val="005A4DAE"/>
    <w:rsid w:val="005A698B"/>
    <w:rsid w:val="005A69D6"/>
    <w:rsid w:val="005B5DE2"/>
    <w:rsid w:val="005B666B"/>
    <w:rsid w:val="005C6A1C"/>
    <w:rsid w:val="005D1B92"/>
    <w:rsid w:val="005F2932"/>
    <w:rsid w:val="005F32E1"/>
    <w:rsid w:val="005F3312"/>
    <w:rsid w:val="005F4B1E"/>
    <w:rsid w:val="005F6376"/>
    <w:rsid w:val="0060297B"/>
    <w:rsid w:val="00612538"/>
    <w:rsid w:val="00615A1C"/>
    <w:rsid w:val="0061634A"/>
    <w:rsid w:val="00632830"/>
    <w:rsid w:val="00641C92"/>
    <w:rsid w:val="00644CF0"/>
    <w:rsid w:val="00665011"/>
    <w:rsid w:val="006657AE"/>
    <w:rsid w:val="00672968"/>
    <w:rsid w:val="006A1D2D"/>
    <w:rsid w:val="006A1D53"/>
    <w:rsid w:val="006A4699"/>
    <w:rsid w:val="006B7ADC"/>
    <w:rsid w:val="006D52D7"/>
    <w:rsid w:val="006E3A36"/>
    <w:rsid w:val="006E3C38"/>
    <w:rsid w:val="006E6A4E"/>
    <w:rsid w:val="006F0C32"/>
    <w:rsid w:val="006F0DA3"/>
    <w:rsid w:val="006F618A"/>
    <w:rsid w:val="006F6D13"/>
    <w:rsid w:val="00703142"/>
    <w:rsid w:val="00705C52"/>
    <w:rsid w:val="00711DBF"/>
    <w:rsid w:val="00732302"/>
    <w:rsid w:val="00733265"/>
    <w:rsid w:val="00745850"/>
    <w:rsid w:val="007550DC"/>
    <w:rsid w:val="007553FE"/>
    <w:rsid w:val="0075686B"/>
    <w:rsid w:val="00764FD7"/>
    <w:rsid w:val="0077479C"/>
    <w:rsid w:val="0078325E"/>
    <w:rsid w:val="007A00D7"/>
    <w:rsid w:val="007A716B"/>
    <w:rsid w:val="007B710D"/>
    <w:rsid w:val="007C3248"/>
    <w:rsid w:val="007C4D75"/>
    <w:rsid w:val="007E4B8D"/>
    <w:rsid w:val="007E5477"/>
    <w:rsid w:val="007F6D12"/>
    <w:rsid w:val="00806692"/>
    <w:rsid w:val="00812DE6"/>
    <w:rsid w:val="00824870"/>
    <w:rsid w:val="00824B4A"/>
    <w:rsid w:val="00831067"/>
    <w:rsid w:val="008311AB"/>
    <w:rsid w:val="00837856"/>
    <w:rsid w:val="0087711F"/>
    <w:rsid w:val="008A2477"/>
    <w:rsid w:val="008C61B2"/>
    <w:rsid w:val="008C7F5E"/>
    <w:rsid w:val="008D65EF"/>
    <w:rsid w:val="008D6870"/>
    <w:rsid w:val="008D7A7F"/>
    <w:rsid w:val="008E3FE2"/>
    <w:rsid w:val="008F3CB2"/>
    <w:rsid w:val="009032D6"/>
    <w:rsid w:val="009038A8"/>
    <w:rsid w:val="0090461D"/>
    <w:rsid w:val="0092077B"/>
    <w:rsid w:val="00935A9C"/>
    <w:rsid w:val="0093736B"/>
    <w:rsid w:val="0094461F"/>
    <w:rsid w:val="0095643B"/>
    <w:rsid w:val="009736D6"/>
    <w:rsid w:val="00977A34"/>
    <w:rsid w:val="0099120A"/>
    <w:rsid w:val="009913AE"/>
    <w:rsid w:val="00997CB6"/>
    <w:rsid w:val="009A3F7F"/>
    <w:rsid w:val="009A531E"/>
    <w:rsid w:val="009B3D02"/>
    <w:rsid w:val="009C50A9"/>
    <w:rsid w:val="009D246D"/>
    <w:rsid w:val="009D742A"/>
    <w:rsid w:val="009E6791"/>
    <w:rsid w:val="009F5C98"/>
    <w:rsid w:val="009F792D"/>
    <w:rsid w:val="00A01BB0"/>
    <w:rsid w:val="00A062C0"/>
    <w:rsid w:val="00A10BD3"/>
    <w:rsid w:val="00A207B8"/>
    <w:rsid w:val="00A22C20"/>
    <w:rsid w:val="00A30BCB"/>
    <w:rsid w:val="00A31C2C"/>
    <w:rsid w:val="00A406DD"/>
    <w:rsid w:val="00A42FD3"/>
    <w:rsid w:val="00A60851"/>
    <w:rsid w:val="00A611AA"/>
    <w:rsid w:val="00A66AD7"/>
    <w:rsid w:val="00A80ABE"/>
    <w:rsid w:val="00A91A17"/>
    <w:rsid w:val="00A9430E"/>
    <w:rsid w:val="00AA2894"/>
    <w:rsid w:val="00AA3AD0"/>
    <w:rsid w:val="00AB7893"/>
    <w:rsid w:val="00AD558E"/>
    <w:rsid w:val="00AE58BB"/>
    <w:rsid w:val="00AF1E3D"/>
    <w:rsid w:val="00AF371D"/>
    <w:rsid w:val="00AF4533"/>
    <w:rsid w:val="00B035DB"/>
    <w:rsid w:val="00B07FFB"/>
    <w:rsid w:val="00B203DA"/>
    <w:rsid w:val="00B2782F"/>
    <w:rsid w:val="00B31740"/>
    <w:rsid w:val="00B41511"/>
    <w:rsid w:val="00B42B50"/>
    <w:rsid w:val="00B44705"/>
    <w:rsid w:val="00B44EC3"/>
    <w:rsid w:val="00B45726"/>
    <w:rsid w:val="00B512B8"/>
    <w:rsid w:val="00B52D51"/>
    <w:rsid w:val="00B61E2D"/>
    <w:rsid w:val="00B629EB"/>
    <w:rsid w:val="00B62A48"/>
    <w:rsid w:val="00B71740"/>
    <w:rsid w:val="00B91FFB"/>
    <w:rsid w:val="00BB3ED1"/>
    <w:rsid w:val="00BB41C9"/>
    <w:rsid w:val="00BB424D"/>
    <w:rsid w:val="00BC3341"/>
    <w:rsid w:val="00BD514D"/>
    <w:rsid w:val="00BE0E29"/>
    <w:rsid w:val="00BE2607"/>
    <w:rsid w:val="00BE6788"/>
    <w:rsid w:val="00BE7BD3"/>
    <w:rsid w:val="00BF0EE4"/>
    <w:rsid w:val="00BF29D6"/>
    <w:rsid w:val="00BF2F9C"/>
    <w:rsid w:val="00BF7857"/>
    <w:rsid w:val="00C03D3F"/>
    <w:rsid w:val="00C04DE6"/>
    <w:rsid w:val="00C109B3"/>
    <w:rsid w:val="00C20F44"/>
    <w:rsid w:val="00C24A7F"/>
    <w:rsid w:val="00C27102"/>
    <w:rsid w:val="00C3190C"/>
    <w:rsid w:val="00C33245"/>
    <w:rsid w:val="00C341C2"/>
    <w:rsid w:val="00C35F35"/>
    <w:rsid w:val="00C3664F"/>
    <w:rsid w:val="00C4664B"/>
    <w:rsid w:val="00C54945"/>
    <w:rsid w:val="00C61F40"/>
    <w:rsid w:val="00C6234F"/>
    <w:rsid w:val="00C63931"/>
    <w:rsid w:val="00C6747A"/>
    <w:rsid w:val="00C70EE0"/>
    <w:rsid w:val="00C7172D"/>
    <w:rsid w:val="00C71AB8"/>
    <w:rsid w:val="00C77D51"/>
    <w:rsid w:val="00C95970"/>
    <w:rsid w:val="00CB37C7"/>
    <w:rsid w:val="00CB4F21"/>
    <w:rsid w:val="00CC5571"/>
    <w:rsid w:val="00CD52FD"/>
    <w:rsid w:val="00CF49C1"/>
    <w:rsid w:val="00D1204F"/>
    <w:rsid w:val="00D15B39"/>
    <w:rsid w:val="00D208D9"/>
    <w:rsid w:val="00D23FD7"/>
    <w:rsid w:val="00D33FBE"/>
    <w:rsid w:val="00D34002"/>
    <w:rsid w:val="00D45715"/>
    <w:rsid w:val="00D46DA1"/>
    <w:rsid w:val="00D55C40"/>
    <w:rsid w:val="00D569AA"/>
    <w:rsid w:val="00D76412"/>
    <w:rsid w:val="00D8246C"/>
    <w:rsid w:val="00D95DF8"/>
    <w:rsid w:val="00DA0A4B"/>
    <w:rsid w:val="00DA5288"/>
    <w:rsid w:val="00DA6215"/>
    <w:rsid w:val="00DA6B86"/>
    <w:rsid w:val="00DB1124"/>
    <w:rsid w:val="00DB7493"/>
    <w:rsid w:val="00DB79C4"/>
    <w:rsid w:val="00DC2C7B"/>
    <w:rsid w:val="00DC4999"/>
    <w:rsid w:val="00DC54BA"/>
    <w:rsid w:val="00DD0970"/>
    <w:rsid w:val="00DD270B"/>
    <w:rsid w:val="00DD7D63"/>
    <w:rsid w:val="00DE6FC2"/>
    <w:rsid w:val="00E10AC2"/>
    <w:rsid w:val="00E1272B"/>
    <w:rsid w:val="00E15188"/>
    <w:rsid w:val="00E179ED"/>
    <w:rsid w:val="00E17C27"/>
    <w:rsid w:val="00E209ED"/>
    <w:rsid w:val="00E243C7"/>
    <w:rsid w:val="00E2737B"/>
    <w:rsid w:val="00E30F46"/>
    <w:rsid w:val="00E336BD"/>
    <w:rsid w:val="00E41474"/>
    <w:rsid w:val="00E41552"/>
    <w:rsid w:val="00E43998"/>
    <w:rsid w:val="00E601B6"/>
    <w:rsid w:val="00E601BB"/>
    <w:rsid w:val="00E7564A"/>
    <w:rsid w:val="00E84F7F"/>
    <w:rsid w:val="00E93D52"/>
    <w:rsid w:val="00E947DC"/>
    <w:rsid w:val="00E96062"/>
    <w:rsid w:val="00E960C9"/>
    <w:rsid w:val="00EA7390"/>
    <w:rsid w:val="00EC1AAF"/>
    <w:rsid w:val="00EC675E"/>
    <w:rsid w:val="00ED22CC"/>
    <w:rsid w:val="00ED345F"/>
    <w:rsid w:val="00EF245A"/>
    <w:rsid w:val="00F312C9"/>
    <w:rsid w:val="00F318D9"/>
    <w:rsid w:val="00F332A9"/>
    <w:rsid w:val="00F35158"/>
    <w:rsid w:val="00F3754D"/>
    <w:rsid w:val="00F411AA"/>
    <w:rsid w:val="00F47E36"/>
    <w:rsid w:val="00F504CE"/>
    <w:rsid w:val="00F659CF"/>
    <w:rsid w:val="00F738A9"/>
    <w:rsid w:val="00F77535"/>
    <w:rsid w:val="00F86EB6"/>
    <w:rsid w:val="00F97A96"/>
    <w:rsid w:val="00FA5A15"/>
    <w:rsid w:val="00FB5801"/>
    <w:rsid w:val="00FB6555"/>
    <w:rsid w:val="00FB66AF"/>
    <w:rsid w:val="00FC2720"/>
    <w:rsid w:val="00FC4331"/>
    <w:rsid w:val="00FC443D"/>
    <w:rsid w:val="00FC596F"/>
    <w:rsid w:val="00FD199E"/>
    <w:rsid w:val="00FD241A"/>
    <w:rsid w:val="00FE445C"/>
    <w:rsid w:val="00F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735900"/>
  <w15:chartTrackingRefBased/>
  <w15:docId w15:val="{D5D309E0-1ADD-4015-8C37-929AE7B0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2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D51"/>
  </w:style>
  <w:style w:type="paragraph" w:styleId="Footer">
    <w:name w:val="footer"/>
    <w:basedOn w:val="Normal"/>
    <w:link w:val="FooterChar"/>
    <w:uiPriority w:val="99"/>
    <w:unhideWhenUsed/>
    <w:rsid w:val="00B52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D51"/>
  </w:style>
  <w:style w:type="paragraph" w:styleId="ListParagraph">
    <w:name w:val="List Paragraph"/>
    <w:basedOn w:val="Normal"/>
    <w:uiPriority w:val="34"/>
    <w:qFormat/>
    <w:rsid w:val="007A71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6591A60621744940391A42004AA85" ma:contentTypeVersion="10" ma:contentTypeDescription="Create a new document." ma:contentTypeScope="" ma:versionID="0594644b4f7a6331f3b1b7d724ea786f">
  <xsd:schema xmlns:xsd="http://www.w3.org/2001/XMLSchema" xmlns:xs="http://www.w3.org/2001/XMLSchema" xmlns:p="http://schemas.microsoft.com/office/2006/metadata/properties" xmlns:ns3="85228a36-17e7-4a20-81a9-0c02a5637567" targetNamespace="http://schemas.microsoft.com/office/2006/metadata/properties" ma:root="true" ma:fieldsID="44bd14f4210db83c491e40773a9af0f5" ns3:_="">
    <xsd:import namespace="85228a36-17e7-4a20-81a9-0c02a56375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28a36-17e7-4a20-81a9-0c02a5637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38E58-7BC4-43D0-AE2B-FA4DBE873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1089BB-ED6B-4D57-A486-919FE21B7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28a36-17e7-4a20-81a9-0c02a5637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593E2-B4EF-4693-A8DE-939EE27F3C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Dionne Candelaria</dc:creator>
  <cp:keywords/>
  <dc:description/>
  <cp:lastModifiedBy>Dion Candelaria</cp:lastModifiedBy>
  <cp:revision>3</cp:revision>
  <dcterms:created xsi:type="dcterms:W3CDTF">2020-09-23T05:01:00Z</dcterms:created>
  <dcterms:modified xsi:type="dcterms:W3CDTF">2020-09-23T05:10:00Z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0x010100CB06591A60621744940391A42004AA85</vt:lpwstr>
  </property>
</Properties>
</file>