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6DA27" w14:textId="7A1B2220" w:rsidR="005854EE" w:rsidRPr="00B764B2" w:rsidRDefault="005854EE" w:rsidP="005854EE">
      <w:pPr>
        <w:rPr>
          <w:rFonts w:ascii="Arial" w:hAnsi="Arial" w:cs="Arial"/>
          <w:sz w:val="20"/>
          <w:szCs w:val="20"/>
        </w:rPr>
      </w:pPr>
      <w:r w:rsidRPr="00B764B2">
        <w:rPr>
          <w:rFonts w:ascii="Arial" w:hAnsi="Arial" w:cs="Arial"/>
          <w:b/>
          <w:bCs/>
          <w:sz w:val="20"/>
          <w:szCs w:val="20"/>
        </w:rPr>
        <w:t>Project Title:</w:t>
      </w:r>
      <w:r w:rsidRPr="00B764B2">
        <w:rPr>
          <w:rFonts w:ascii="Arial" w:hAnsi="Arial" w:cs="Arial"/>
          <w:sz w:val="20"/>
          <w:szCs w:val="20"/>
        </w:rPr>
        <w:t xml:space="preserve"> Understanding</w:t>
      </w:r>
      <w:r>
        <w:rPr>
          <w:rFonts w:ascii="Arial" w:hAnsi="Arial" w:cs="Arial"/>
          <w:sz w:val="20"/>
          <w:szCs w:val="20"/>
        </w:rPr>
        <w:t xml:space="preserve"> </w:t>
      </w:r>
      <w:r w:rsidR="006F321D">
        <w:rPr>
          <w:rFonts w:ascii="Arial" w:hAnsi="Arial" w:cs="Arial"/>
          <w:sz w:val="20"/>
          <w:szCs w:val="20"/>
        </w:rPr>
        <w:t xml:space="preserve">the </w:t>
      </w:r>
      <w:r w:rsidR="001E1D70">
        <w:rPr>
          <w:rFonts w:ascii="Arial" w:hAnsi="Arial" w:cs="Arial"/>
          <w:sz w:val="20"/>
          <w:szCs w:val="20"/>
        </w:rPr>
        <w:t xml:space="preserve">Impact of </w:t>
      </w:r>
      <w:r w:rsidR="007834F8">
        <w:rPr>
          <w:rFonts w:ascii="Arial" w:hAnsi="Arial" w:cs="Arial"/>
          <w:sz w:val="20"/>
          <w:szCs w:val="20"/>
        </w:rPr>
        <w:t xml:space="preserve">Extraneous </w:t>
      </w:r>
      <w:r w:rsidR="001E1D70">
        <w:rPr>
          <w:rFonts w:ascii="Arial" w:hAnsi="Arial" w:cs="Arial"/>
          <w:sz w:val="20"/>
          <w:szCs w:val="20"/>
        </w:rPr>
        <w:t>Cognitive Burdens</w:t>
      </w:r>
      <w:r w:rsidR="007834F8">
        <w:rPr>
          <w:rFonts w:ascii="Arial" w:hAnsi="Arial" w:cs="Arial"/>
          <w:sz w:val="20"/>
          <w:szCs w:val="20"/>
        </w:rPr>
        <w:t xml:space="preserve"> of </w:t>
      </w:r>
      <w:r w:rsidR="00B63779">
        <w:rPr>
          <w:rFonts w:ascii="Arial" w:hAnsi="Arial" w:cs="Arial"/>
          <w:sz w:val="20"/>
          <w:szCs w:val="20"/>
        </w:rPr>
        <w:t>Clinical Environments</w:t>
      </w:r>
      <w:r w:rsidR="001E1D70">
        <w:rPr>
          <w:rFonts w:ascii="Arial" w:hAnsi="Arial" w:cs="Arial"/>
          <w:sz w:val="20"/>
          <w:szCs w:val="20"/>
        </w:rPr>
        <w:t xml:space="preserve"> Upon Objective Cognitive Workload and Technical Performance: An </w:t>
      </w:r>
      <w:proofErr w:type="spellStart"/>
      <w:r w:rsidR="001E1D70">
        <w:rPr>
          <w:rFonts w:ascii="Arial" w:hAnsi="Arial" w:cs="Arial"/>
          <w:sz w:val="20"/>
          <w:szCs w:val="20"/>
        </w:rPr>
        <w:t>fNIRS</w:t>
      </w:r>
      <w:proofErr w:type="spellEnd"/>
      <w:r w:rsidR="001E1D70">
        <w:rPr>
          <w:rFonts w:ascii="Arial" w:hAnsi="Arial" w:cs="Arial"/>
          <w:sz w:val="20"/>
          <w:szCs w:val="20"/>
        </w:rPr>
        <w:t xml:space="preserve"> Study.</w:t>
      </w:r>
    </w:p>
    <w:p w14:paraId="574BF1CB" w14:textId="77777777" w:rsidR="005854EE" w:rsidRPr="00B764B2" w:rsidRDefault="005854EE" w:rsidP="005854EE">
      <w:pPr>
        <w:rPr>
          <w:rFonts w:ascii="Arial" w:hAnsi="Arial" w:cs="Arial"/>
          <w:b/>
          <w:bCs/>
          <w:sz w:val="20"/>
          <w:szCs w:val="20"/>
        </w:rPr>
      </w:pPr>
      <w:r w:rsidRPr="00B764B2">
        <w:rPr>
          <w:rFonts w:ascii="Arial" w:hAnsi="Arial" w:cs="Arial"/>
          <w:b/>
          <w:bCs/>
          <w:sz w:val="20"/>
          <w:szCs w:val="20"/>
        </w:rPr>
        <w:t>Project Background:</w:t>
      </w:r>
    </w:p>
    <w:p w14:paraId="1787DAAE" w14:textId="77777777" w:rsidR="005854EE" w:rsidRPr="00B764B2" w:rsidRDefault="005854EE" w:rsidP="005854EE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764B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Cognitive workload load (CWL) is a good predictor of the psychomotor skill acquisition and task performance</w:t>
      </w:r>
      <w:r w:rsidRPr="00B764B2">
        <w:rPr>
          <w:rStyle w:val="EndnoteReference"/>
          <w:rFonts w:ascii="Arial" w:hAnsi="Arial" w:cs="Arial"/>
          <w:color w:val="000000"/>
          <w:sz w:val="20"/>
          <w:szCs w:val="20"/>
          <w:shd w:val="clear" w:color="auto" w:fill="FFFFFF"/>
        </w:rPr>
        <w:endnoteReference w:id="1"/>
      </w:r>
      <w:r w:rsidRPr="00B764B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B764B2">
        <w:rPr>
          <w:rStyle w:val="EndnoteReference"/>
          <w:rFonts w:ascii="Arial" w:hAnsi="Arial" w:cs="Arial"/>
          <w:color w:val="000000"/>
          <w:sz w:val="20"/>
          <w:szCs w:val="20"/>
          <w:shd w:val="clear" w:color="auto" w:fill="FFFFFF"/>
        </w:rPr>
        <w:endnoteReference w:id="2"/>
      </w:r>
      <w:r w:rsidRPr="00B764B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 Cognitive ‘overload’ leads to impaired clinical decision-making and performance decline</w:t>
      </w:r>
      <w:r w:rsidRPr="00B764B2">
        <w:rPr>
          <w:rStyle w:val="EndnoteReference"/>
          <w:rFonts w:ascii="Arial" w:hAnsi="Arial" w:cs="Arial"/>
          <w:color w:val="000000"/>
          <w:sz w:val="20"/>
          <w:szCs w:val="20"/>
          <w:shd w:val="clear" w:color="auto" w:fill="FFFFFF"/>
        </w:rPr>
        <w:endnoteReference w:id="3"/>
      </w:r>
      <w:r w:rsidRPr="00B764B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 Recognising an operator’s CWL could enable interventions to alleviate burden and improve patient safety</w:t>
      </w:r>
      <w:r w:rsidRPr="00B764B2">
        <w:rPr>
          <w:rStyle w:val="EndnoteReference"/>
          <w:rFonts w:ascii="Arial" w:hAnsi="Arial" w:cs="Arial"/>
          <w:color w:val="000000"/>
          <w:sz w:val="20"/>
          <w:szCs w:val="20"/>
          <w:shd w:val="clear" w:color="auto" w:fill="FFFFFF"/>
        </w:rPr>
        <w:endnoteReference w:id="4"/>
      </w:r>
      <w:r w:rsidRPr="00B764B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. </w:t>
      </w:r>
      <w:r w:rsidRPr="00B764B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4699AFE" w14:textId="0D9C5CCB" w:rsidR="00A03DF7" w:rsidRDefault="00332D35" w:rsidP="005854EE">
      <w:pP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Central Venous Catheterisation (CVC)</w:t>
      </w:r>
      <w:r w:rsidR="009976D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is a technical skill employed by Anaesthetists, Intensivists and Emergency </w:t>
      </w:r>
      <w:r w:rsidR="009729A6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p</w:t>
      </w:r>
      <w:r w:rsidR="009976D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hysicians </w:t>
      </w:r>
      <w:r w:rsidR="00D3386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to obtain </w:t>
      </w:r>
      <w:r w:rsidR="009941B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access to the internal jugular for intravenous administration of drugs</w:t>
      </w:r>
      <w:r w:rsidR="00B754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and</w:t>
      </w:r>
      <w:r w:rsidR="009941B4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central pressure monitoring</w:t>
      </w:r>
      <w:r w:rsidR="00B75419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645A8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Often, this skill is required in acutely unwell patients</w:t>
      </w:r>
      <w:r w:rsidR="000E601A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in challenging clinical environments with high extraneous cognitive workload.</w:t>
      </w:r>
      <w:r w:rsidR="00D3147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Such extraneous burdens </w:t>
      </w:r>
      <w:proofErr w:type="gramStart"/>
      <w:r w:rsidR="00D3147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include:</w:t>
      </w:r>
      <w:proofErr w:type="gramEnd"/>
      <w:r w:rsidR="00D31475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auditory</w:t>
      </w:r>
      <w:r w:rsidR="00AE2B4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stimuli</w:t>
      </w:r>
      <w:r w:rsidR="003459D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(bleeps</w:t>
      </w:r>
      <w:r w:rsidR="00B64541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or</w:t>
      </w:r>
      <w:r w:rsidR="003459D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patient monitoring</w:t>
      </w:r>
      <w:r w:rsidR="00AE2B4B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); temporal demand</w:t>
      </w:r>
      <w:r w:rsidR="00012ADC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cognitive interruptions and ergonomic constraints (e.g. PPE).</w:t>
      </w:r>
    </w:p>
    <w:p w14:paraId="27904ED7" w14:textId="5EF88D66" w:rsidR="005854EE" w:rsidRPr="00950C81" w:rsidRDefault="00A03DF7" w:rsidP="00950C81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03DF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High cognitive workload (CWL) states, particularly extraneous sources, account for 87.1% </w:t>
      </w:r>
      <w:proofErr w:type="gramStart"/>
      <w:r w:rsidRPr="00A03DF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of  medical</w:t>
      </w:r>
      <w:proofErr w:type="gramEnd"/>
      <w:r w:rsidRPr="00A03DF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errors</w:t>
      </w:r>
      <w:r w:rsidR="00E271BE">
        <w:rPr>
          <w:rStyle w:val="FootnoteReference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footnoteReference w:id="1"/>
      </w:r>
      <w:r w:rsidRPr="00A03DF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. </w:t>
      </w:r>
      <w:proofErr w:type="spellStart"/>
      <w:r w:rsidRPr="00A03DF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Recognising</w:t>
      </w:r>
      <w:proofErr w:type="spellEnd"/>
      <w:r w:rsidRPr="00A03DF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the factors contributing to cognitive overload could reduce surgical errors and enhance patient safety.</w:t>
      </w:r>
      <w:r w:rsidRPr="00A03DF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1605F5" w:rsidRPr="00685FF4">
        <w:rPr>
          <w:rFonts w:ascii="Arial" w:hAnsi="Arial" w:cs="Arial"/>
          <w:sz w:val="20"/>
          <w:szCs w:val="20"/>
        </w:rPr>
        <w:t>fNIRS</w:t>
      </w:r>
      <w:proofErr w:type="spellEnd"/>
      <w:r w:rsidR="001605F5" w:rsidRPr="00685FF4">
        <w:rPr>
          <w:rFonts w:ascii="Arial" w:hAnsi="Arial" w:cs="Arial"/>
          <w:sz w:val="20"/>
          <w:szCs w:val="20"/>
        </w:rPr>
        <w:t xml:space="preserve"> has become a well-established</w:t>
      </w:r>
      <w:r w:rsidR="00F1398F">
        <w:rPr>
          <w:rFonts w:ascii="Arial" w:hAnsi="Arial" w:cs="Arial"/>
          <w:sz w:val="20"/>
          <w:szCs w:val="20"/>
        </w:rPr>
        <w:t>, safe, non-invasive</w:t>
      </w:r>
      <w:r w:rsidR="00CD1B2B">
        <w:rPr>
          <w:rFonts w:ascii="Arial" w:hAnsi="Arial" w:cs="Arial"/>
          <w:sz w:val="20"/>
          <w:szCs w:val="20"/>
        </w:rPr>
        <w:t xml:space="preserve"> optical neuroimaging</w:t>
      </w:r>
      <w:r w:rsidR="001605F5" w:rsidRPr="00685FF4">
        <w:rPr>
          <w:rFonts w:ascii="Arial" w:hAnsi="Arial" w:cs="Arial"/>
          <w:sz w:val="20"/>
          <w:szCs w:val="20"/>
        </w:rPr>
        <w:t xml:space="preserve"> modality, utilising a near-infrared-range to measure </w:t>
      </w:r>
      <w:r w:rsidR="006A3DB2">
        <w:rPr>
          <w:rFonts w:ascii="Arial" w:hAnsi="Arial" w:cs="Arial"/>
          <w:sz w:val="20"/>
          <w:szCs w:val="20"/>
        </w:rPr>
        <w:t>neural activation in</w:t>
      </w:r>
      <w:r w:rsidR="001605F5" w:rsidRPr="00685FF4">
        <w:rPr>
          <w:rFonts w:ascii="Arial" w:hAnsi="Arial" w:cs="Arial"/>
          <w:sz w:val="20"/>
        </w:rPr>
        <w:t xml:space="preserve"> </w:t>
      </w:r>
      <w:r w:rsidR="006A3DB2">
        <w:rPr>
          <w:rFonts w:ascii="Arial" w:hAnsi="Arial" w:cs="Arial"/>
          <w:sz w:val="20"/>
        </w:rPr>
        <w:t>a</w:t>
      </w:r>
      <w:r w:rsidR="001605F5" w:rsidRPr="00685FF4">
        <w:rPr>
          <w:rFonts w:ascii="Arial" w:hAnsi="Arial" w:cs="Arial"/>
          <w:sz w:val="20"/>
        </w:rPr>
        <w:t xml:space="preserve">reas implicated during bimanual tasks </w:t>
      </w:r>
      <w:r w:rsidR="006A3DB2">
        <w:rPr>
          <w:rFonts w:ascii="Arial" w:hAnsi="Arial" w:cs="Arial"/>
          <w:sz w:val="20"/>
        </w:rPr>
        <w:t>such as</w:t>
      </w:r>
      <w:r w:rsidR="001605F5" w:rsidRPr="00685FF4">
        <w:rPr>
          <w:rFonts w:ascii="Arial" w:hAnsi="Arial" w:cs="Arial"/>
          <w:sz w:val="20"/>
        </w:rPr>
        <w:t xml:space="preserve"> the prefrontal cortex (PFC</w:t>
      </w:r>
      <w:r w:rsidR="006A3DB2">
        <w:rPr>
          <w:rFonts w:ascii="Arial" w:hAnsi="Arial" w:cs="Arial"/>
          <w:sz w:val="20"/>
        </w:rPr>
        <w:t>)</w:t>
      </w:r>
      <w:r w:rsidR="00950C81">
        <w:rPr>
          <w:rFonts w:ascii="Arial" w:hAnsi="Arial" w:cs="Arial"/>
          <w:sz w:val="20"/>
        </w:rPr>
        <w:t xml:space="preserve"> – an objective measure of CWL.</w:t>
      </w:r>
    </w:p>
    <w:p w14:paraId="662D5E6D" w14:textId="77777777" w:rsidR="005854EE" w:rsidRPr="00B764B2" w:rsidRDefault="005854EE" w:rsidP="005854EE">
      <w:pPr>
        <w:rPr>
          <w:rFonts w:ascii="Arial" w:hAnsi="Arial" w:cs="Arial"/>
          <w:b/>
          <w:bCs/>
          <w:sz w:val="20"/>
          <w:szCs w:val="20"/>
        </w:rPr>
      </w:pPr>
      <w:r w:rsidRPr="00B764B2">
        <w:rPr>
          <w:rFonts w:ascii="Arial" w:hAnsi="Arial" w:cs="Arial"/>
          <w:b/>
          <w:bCs/>
          <w:sz w:val="20"/>
          <w:szCs w:val="20"/>
        </w:rPr>
        <w:t>Project Aims:</w:t>
      </w:r>
    </w:p>
    <w:p w14:paraId="758C7102" w14:textId="51E71A8D" w:rsidR="005854EE" w:rsidRPr="00B764B2" w:rsidRDefault="005854EE" w:rsidP="005854EE">
      <w:pPr>
        <w:rPr>
          <w:rFonts w:ascii="Arial" w:hAnsi="Arial" w:cs="Arial"/>
          <w:sz w:val="20"/>
          <w:szCs w:val="20"/>
        </w:rPr>
      </w:pPr>
      <w:r w:rsidRPr="00B764B2">
        <w:rPr>
          <w:rFonts w:ascii="Arial" w:hAnsi="Arial" w:cs="Arial"/>
          <w:sz w:val="20"/>
          <w:szCs w:val="20"/>
        </w:rPr>
        <w:t xml:space="preserve">To </w:t>
      </w:r>
      <w:r w:rsidR="00B627F5">
        <w:rPr>
          <w:rFonts w:ascii="Arial" w:hAnsi="Arial" w:cs="Arial"/>
          <w:sz w:val="20"/>
          <w:szCs w:val="20"/>
        </w:rPr>
        <w:t>understand how independent extraneous load components affect CWL and objective technical performance.</w:t>
      </w:r>
    </w:p>
    <w:p w14:paraId="27D84BC5" w14:textId="77777777" w:rsidR="005854EE" w:rsidRPr="00B764B2" w:rsidRDefault="005854EE" w:rsidP="005854EE">
      <w:pPr>
        <w:rPr>
          <w:rFonts w:ascii="Arial" w:hAnsi="Arial" w:cs="Arial"/>
          <w:b/>
          <w:bCs/>
          <w:sz w:val="20"/>
          <w:szCs w:val="20"/>
        </w:rPr>
      </w:pPr>
      <w:r w:rsidRPr="00B764B2">
        <w:rPr>
          <w:rFonts w:ascii="Arial" w:hAnsi="Arial" w:cs="Arial"/>
          <w:b/>
          <w:bCs/>
          <w:sz w:val="20"/>
          <w:szCs w:val="20"/>
        </w:rPr>
        <w:t>Research Plan &amp; Methodology:</w:t>
      </w:r>
    </w:p>
    <w:p w14:paraId="2FDF89BA" w14:textId="15AA43CA" w:rsidR="005854EE" w:rsidRDefault="00BC1521" w:rsidP="005854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research project will be laboratory-based</w:t>
      </w:r>
      <w:r w:rsidR="00B627F5">
        <w:rPr>
          <w:rFonts w:ascii="Arial" w:hAnsi="Arial" w:cs="Arial"/>
          <w:sz w:val="20"/>
          <w:szCs w:val="20"/>
        </w:rPr>
        <w:t>. Residents</w:t>
      </w:r>
      <w:r>
        <w:rPr>
          <w:rFonts w:ascii="Arial" w:hAnsi="Arial" w:cs="Arial"/>
          <w:sz w:val="20"/>
          <w:szCs w:val="20"/>
        </w:rPr>
        <w:t xml:space="preserve"> (n=</w:t>
      </w:r>
      <w:r w:rsidR="00B627F5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) will carry out </w:t>
      </w:r>
      <w:r w:rsidR="00B627F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simulated </w:t>
      </w:r>
      <w:r w:rsidR="00B627F5">
        <w:rPr>
          <w:rFonts w:ascii="Arial" w:hAnsi="Arial" w:cs="Arial"/>
          <w:sz w:val="20"/>
          <w:szCs w:val="20"/>
        </w:rPr>
        <w:t>CVC</w:t>
      </w:r>
      <w:r>
        <w:rPr>
          <w:rFonts w:ascii="Arial" w:hAnsi="Arial" w:cs="Arial"/>
          <w:sz w:val="20"/>
          <w:szCs w:val="20"/>
        </w:rPr>
        <w:t xml:space="preserve"> </w:t>
      </w:r>
      <w:r w:rsidR="00B627F5">
        <w:rPr>
          <w:rFonts w:ascii="Arial" w:hAnsi="Arial" w:cs="Arial"/>
          <w:sz w:val="20"/>
          <w:szCs w:val="20"/>
        </w:rPr>
        <w:t>insertion</w:t>
      </w:r>
      <w:r w:rsidR="00545CED">
        <w:rPr>
          <w:rFonts w:ascii="Arial" w:hAnsi="Arial" w:cs="Arial"/>
          <w:sz w:val="20"/>
          <w:szCs w:val="20"/>
        </w:rPr>
        <w:t xml:space="preserve"> under varying clinical burdens in a simulated clinical environment. </w:t>
      </w:r>
      <w:r>
        <w:rPr>
          <w:rFonts w:ascii="Arial" w:hAnsi="Arial" w:cs="Arial"/>
          <w:sz w:val="20"/>
          <w:szCs w:val="20"/>
        </w:rPr>
        <w:t>Outcome measures will include: 1)</w:t>
      </w:r>
      <w:r w:rsidR="005854EE" w:rsidRPr="00B764B2">
        <w:rPr>
          <w:rFonts w:ascii="Arial" w:hAnsi="Arial" w:cs="Arial"/>
          <w:sz w:val="20"/>
          <w:szCs w:val="20"/>
        </w:rPr>
        <w:t xml:space="preserve"> objective CWL assessment tools (</w:t>
      </w:r>
      <w:proofErr w:type="spellStart"/>
      <w:r w:rsidR="005854EE" w:rsidRPr="00B764B2">
        <w:rPr>
          <w:rFonts w:ascii="Arial" w:hAnsi="Arial" w:cs="Arial"/>
          <w:sz w:val="20"/>
          <w:szCs w:val="20"/>
        </w:rPr>
        <w:t>fNIRS</w:t>
      </w:r>
      <w:proofErr w:type="spellEnd"/>
      <w:r w:rsidR="005854EE" w:rsidRPr="00B764B2">
        <w:rPr>
          <w:rFonts w:ascii="Arial" w:hAnsi="Arial" w:cs="Arial"/>
          <w:sz w:val="20"/>
          <w:szCs w:val="20"/>
        </w:rPr>
        <w:t xml:space="preserve">, </w:t>
      </w:r>
      <w:r w:rsidR="00937837">
        <w:rPr>
          <w:rFonts w:ascii="Arial" w:hAnsi="Arial" w:cs="Arial"/>
          <w:sz w:val="20"/>
          <w:szCs w:val="20"/>
        </w:rPr>
        <w:t>ECG</w:t>
      </w:r>
      <w:r w:rsidR="005854EE" w:rsidRPr="00B764B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; 2) </w:t>
      </w:r>
      <w:r w:rsidR="00937837">
        <w:rPr>
          <w:rFonts w:ascii="Arial" w:hAnsi="Arial" w:cs="Arial"/>
          <w:sz w:val="20"/>
          <w:szCs w:val="20"/>
        </w:rPr>
        <w:t>subjective CWL tool (SURG-TLX)</w:t>
      </w:r>
      <w:r>
        <w:rPr>
          <w:rFonts w:ascii="Arial" w:hAnsi="Arial" w:cs="Arial"/>
          <w:sz w:val="20"/>
          <w:szCs w:val="20"/>
        </w:rPr>
        <w:t>;</w:t>
      </w:r>
      <w:r w:rsidR="00937837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3) </w:t>
      </w:r>
      <w:r w:rsidR="00937837">
        <w:rPr>
          <w:rFonts w:ascii="Arial" w:hAnsi="Arial" w:cs="Arial"/>
          <w:sz w:val="20"/>
          <w:szCs w:val="20"/>
        </w:rPr>
        <w:t>technical performance of</w:t>
      </w:r>
      <w:r w:rsidR="005854EE">
        <w:rPr>
          <w:rFonts w:ascii="Arial" w:hAnsi="Arial" w:cs="Arial"/>
          <w:sz w:val="20"/>
          <w:szCs w:val="20"/>
        </w:rPr>
        <w:t xml:space="preserve"> simulated tas</w:t>
      </w:r>
      <w:r w:rsidR="00937837">
        <w:rPr>
          <w:rFonts w:ascii="Arial" w:hAnsi="Arial" w:cs="Arial"/>
          <w:sz w:val="20"/>
          <w:szCs w:val="20"/>
        </w:rPr>
        <w:t xml:space="preserve">k. </w:t>
      </w:r>
      <w:r w:rsidR="00BF66B1">
        <w:rPr>
          <w:rFonts w:ascii="Arial" w:hAnsi="Arial" w:cs="Arial"/>
          <w:sz w:val="20"/>
          <w:szCs w:val="20"/>
        </w:rPr>
        <w:t xml:space="preserve">IRAS </w:t>
      </w:r>
      <w:r w:rsidR="00C072E0">
        <w:rPr>
          <w:rFonts w:ascii="Arial" w:hAnsi="Arial" w:cs="Arial"/>
          <w:sz w:val="20"/>
          <w:szCs w:val="20"/>
        </w:rPr>
        <w:t>ethical approval.</w:t>
      </w:r>
    </w:p>
    <w:p w14:paraId="3C703FE0" w14:textId="20100331" w:rsidR="0044613F" w:rsidRDefault="0044613F" w:rsidP="005854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Students will be involved in </w:t>
      </w:r>
      <w:r w:rsidR="00BF66B1">
        <w:rPr>
          <w:rFonts w:ascii="Arial" w:hAnsi="Arial" w:cs="Arial"/>
          <w:sz w:val="20"/>
          <w:szCs w:val="20"/>
        </w:rPr>
        <w:t>data collection, data analysi</w:t>
      </w:r>
      <w:r w:rsidR="00C072E0">
        <w:rPr>
          <w:rFonts w:ascii="Arial" w:hAnsi="Arial" w:cs="Arial"/>
          <w:sz w:val="20"/>
          <w:szCs w:val="20"/>
        </w:rPr>
        <w:t>s</w:t>
      </w:r>
      <w:r w:rsidR="00841A29">
        <w:rPr>
          <w:rFonts w:ascii="Arial" w:hAnsi="Arial" w:cs="Arial"/>
          <w:sz w:val="20"/>
          <w:szCs w:val="20"/>
        </w:rPr>
        <w:t xml:space="preserve"> and presentation of findings.</w:t>
      </w:r>
    </w:p>
    <w:p w14:paraId="2DB37126" w14:textId="77777777" w:rsidR="005854EE" w:rsidRDefault="005854EE" w:rsidP="005854EE">
      <w:pPr>
        <w:rPr>
          <w:rFonts w:ascii="Arial" w:hAnsi="Arial" w:cs="Arial"/>
          <w:sz w:val="20"/>
          <w:szCs w:val="20"/>
        </w:rPr>
      </w:pPr>
    </w:p>
    <w:p w14:paraId="2E3C55C8" w14:textId="5C33AF45" w:rsidR="005854EE" w:rsidRPr="00BC1521" w:rsidRDefault="005854EE">
      <w:pPr>
        <w:rPr>
          <w:rFonts w:ascii="Arial" w:hAnsi="Arial" w:cs="Arial"/>
          <w:b/>
          <w:bCs/>
          <w:sz w:val="20"/>
          <w:szCs w:val="20"/>
        </w:rPr>
      </w:pPr>
      <w:r w:rsidRPr="00B764B2">
        <w:rPr>
          <w:rFonts w:ascii="Arial" w:hAnsi="Arial" w:cs="Arial"/>
          <w:b/>
          <w:bCs/>
          <w:sz w:val="20"/>
          <w:szCs w:val="20"/>
        </w:rPr>
        <w:t>Key References:</w:t>
      </w:r>
      <w:fldSimple w:instr=" ADDIN EN.REFLIST "/>
    </w:p>
    <w:sectPr w:rsidR="005854EE" w:rsidRPr="00BC1521" w:rsidSect="005854EE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C139" w14:textId="77777777" w:rsidR="00EF52EC" w:rsidRDefault="00EF52EC" w:rsidP="005854EE">
      <w:pPr>
        <w:spacing w:after="0" w:line="240" w:lineRule="auto"/>
      </w:pPr>
      <w:r>
        <w:separator/>
      </w:r>
    </w:p>
  </w:endnote>
  <w:endnote w:type="continuationSeparator" w:id="0">
    <w:p w14:paraId="69CB94B9" w14:textId="77777777" w:rsidR="00EF52EC" w:rsidRDefault="00EF52EC" w:rsidP="005854EE">
      <w:pPr>
        <w:spacing w:after="0" w:line="240" w:lineRule="auto"/>
      </w:pPr>
      <w:r>
        <w:continuationSeparator/>
      </w:r>
    </w:p>
  </w:endnote>
  <w:endnote w:id="1">
    <w:p w14:paraId="5ABE1BAB" w14:textId="77777777" w:rsidR="005854EE" w:rsidRPr="00BC1521" w:rsidRDefault="005854EE" w:rsidP="005854EE">
      <w:pPr>
        <w:pStyle w:val="EndnoteText"/>
        <w:rPr>
          <w:rFonts w:cs="Arial"/>
          <w:sz w:val="18"/>
          <w:szCs w:val="18"/>
        </w:rPr>
      </w:pPr>
      <w:r w:rsidRPr="00EB2A8D">
        <w:rPr>
          <w:rStyle w:val="EndnoteReference"/>
          <w:rFonts w:ascii="Arial" w:hAnsi="Arial" w:cs="Arial"/>
          <w:sz w:val="16"/>
          <w:szCs w:val="16"/>
        </w:rPr>
        <w:endnoteRef/>
      </w:r>
      <w:r w:rsidRPr="00EB2A8D">
        <w:rPr>
          <w:rFonts w:ascii="Arial" w:hAnsi="Arial" w:cs="Arial"/>
          <w:sz w:val="16"/>
          <w:szCs w:val="16"/>
        </w:rPr>
        <w:t xml:space="preserve"> </w:t>
      </w:r>
      <w:r w:rsidRPr="00BC1521">
        <w:rPr>
          <w:rFonts w:cs="Arial"/>
          <w:sz w:val="18"/>
          <w:szCs w:val="18"/>
        </w:rPr>
        <w:t xml:space="preserve">Van Merrienboer, J.J. and </w:t>
      </w:r>
      <w:proofErr w:type="spellStart"/>
      <w:r w:rsidRPr="00BC1521">
        <w:rPr>
          <w:rFonts w:cs="Arial"/>
          <w:sz w:val="18"/>
          <w:szCs w:val="18"/>
        </w:rPr>
        <w:t>Sweller</w:t>
      </w:r>
      <w:proofErr w:type="spellEnd"/>
      <w:r w:rsidRPr="00BC1521">
        <w:rPr>
          <w:rFonts w:cs="Arial"/>
          <w:sz w:val="18"/>
          <w:szCs w:val="18"/>
        </w:rPr>
        <w:t>, J., 2005. Cognitive load theory and complex learning: Recent developments and future directions. Educational psychology review, pp.147-177.</w:t>
      </w:r>
    </w:p>
  </w:endnote>
  <w:endnote w:id="2">
    <w:p w14:paraId="4A3847C3" w14:textId="77777777" w:rsidR="005854EE" w:rsidRPr="00BC1521" w:rsidRDefault="005854EE" w:rsidP="005854EE">
      <w:pPr>
        <w:pStyle w:val="EndnoteText"/>
        <w:rPr>
          <w:rFonts w:cs="Arial"/>
          <w:sz w:val="18"/>
          <w:szCs w:val="18"/>
        </w:rPr>
      </w:pPr>
      <w:r w:rsidRPr="00BC1521">
        <w:rPr>
          <w:rStyle w:val="EndnoteReference"/>
          <w:rFonts w:cs="Arial"/>
          <w:sz w:val="18"/>
          <w:szCs w:val="18"/>
        </w:rPr>
        <w:endnoteRef/>
      </w:r>
      <w:r w:rsidRPr="00BC1521">
        <w:rPr>
          <w:rFonts w:cs="Arial"/>
          <w:sz w:val="18"/>
          <w:szCs w:val="18"/>
        </w:rPr>
        <w:t xml:space="preserve"> </w:t>
      </w:r>
      <w:proofErr w:type="spellStart"/>
      <w:r w:rsidRPr="00BC1521">
        <w:rPr>
          <w:rFonts w:cs="Arial"/>
          <w:sz w:val="18"/>
          <w:szCs w:val="18"/>
        </w:rPr>
        <w:t>Constantinidis</w:t>
      </w:r>
      <w:proofErr w:type="spellEnd"/>
      <w:r w:rsidRPr="00BC1521">
        <w:rPr>
          <w:rFonts w:cs="Arial"/>
          <w:sz w:val="18"/>
          <w:szCs w:val="18"/>
        </w:rPr>
        <w:t>, C. and Klingberg, T., 2016. The neuroscience of working memory capacity and training. Nature Reviews Neuroscience, 17(7), pp.438-449</w:t>
      </w:r>
    </w:p>
  </w:endnote>
  <w:endnote w:id="3">
    <w:p w14:paraId="6C25D91B" w14:textId="77777777" w:rsidR="005854EE" w:rsidRPr="00BC1521" w:rsidRDefault="005854EE" w:rsidP="005854E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="Arial"/>
          <w:sz w:val="18"/>
          <w:szCs w:val="18"/>
        </w:rPr>
      </w:pPr>
      <w:r w:rsidRPr="00BC1521">
        <w:rPr>
          <w:rStyle w:val="EndnoteReference"/>
          <w:rFonts w:asciiTheme="minorHAnsi" w:eastAsiaTheme="majorEastAsia" w:hAnsiTheme="minorHAnsi" w:cs="Arial"/>
          <w:sz w:val="18"/>
          <w:szCs w:val="18"/>
        </w:rPr>
        <w:endnoteRef/>
      </w:r>
      <w:r w:rsidRPr="00BC1521">
        <w:rPr>
          <w:rFonts w:asciiTheme="minorHAnsi" w:hAnsiTheme="minorHAnsi" w:cs="Arial"/>
          <w:sz w:val="18"/>
          <w:szCs w:val="18"/>
        </w:rPr>
        <w:t xml:space="preserve">  </w:t>
      </w:r>
      <w:r w:rsidRPr="00BC1521">
        <w:rPr>
          <w:rStyle w:val="normaltextrun"/>
          <w:rFonts w:asciiTheme="minorHAnsi" w:eastAsiaTheme="majorEastAsia" w:hAnsiTheme="minorHAnsi" w:cs="Arial"/>
          <w:color w:val="000000"/>
          <w:sz w:val="18"/>
          <w:szCs w:val="18"/>
          <w:shd w:val="clear" w:color="auto" w:fill="E1E3E6"/>
          <w:lang w:val="en-US"/>
        </w:rPr>
        <w:t>Shaker D. Cognitivism and psychomotor skills in surgical training: from theory to practice. Int J Med Educ. 2018</w:t>
      </w:r>
    </w:p>
  </w:endnote>
  <w:endnote w:id="4">
    <w:p w14:paraId="0306D5C7" w14:textId="77777777" w:rsidR="005854EE" w:rsidRPr="00BC1521" w:rsidRDefault="005854EE" w:rsidP="005854EE">
      <w:pPr>
        <w:pStyle w:val="EndnoteText"/>
        <w:rPr>
          <w:rFonts w:cs="Arial"/>
          <w:sz w:val="18"/>
          <w:szCs w:val="18"/>
        </w:rPr>
      </w:pPr>
      <w:r w:rsidRPr="00BC1521">
        <w:rPr>
          <w:rStyle w:val="EndnoteReference"/>
          <w:rFonts w:cs="Arial"/>
          <w:sz w:val="18"/>
          <w:szCs w:val="18"/>
        </w:rPr>
        <w:endnoteRef/>
      </w:r>
      <w:r w:rsidRPr="00BC1521">
        <w:rPr>
          <w:rFonts w:cs="Arial"/>
          <w:sz w:val="18"/>
          <w:szCs w:val="18"/>
        </w:rPr>
        <w:t xml:space="preserve"> E. HE, </w:t>
      </w:r>
      <w:proofErr w:type="spellStart"/>
      <w:r w:rsidRPr="00BC1521">
        <w:rPr>
          <w:rFonts w:cs="Arial"/>
          <w:sz w:val="18"/>
          <w:szCs w:val="18"/>
        </w:rPr>
        <w:t>Dharanikota</w:t>
      </w:r>
      <w:proofErr w:type="spellEnd"/>
      <w:r w:rsidRPr="00BC1521">
        <w:rPr>
          <w:rFonts w:cs="Arial"/>
          <w:sz w:val="18"/>
          <w:szCs w:val="18"/>
        </w:rPr>
        <w:t xml:space="preserve"> H, Gunn E, Ambler O, Dias R, Wigmore SJ, et al. Cognitive Load Management: An Invaluable Tool for Safe and Effective Surgical Training. Journal of surgical education. 2023;80(3).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4D0E" w14:textId="77777777" w:rsidR="00EF52EC" w:rsidRDefault="00EF52EC" w:rsidP="005854EE">
      <w:pPr>
        <w:spacing w:after="0" w:line="240" w:lineRule="auto"/>
      </w:pPr>
      <w:r>
        <w:separator/>
      </w:r>
    </w:p>
  </w:footnote>
  <w:footnote w:type="continuationSeparator" w:id="0">
    <w:p w14:paraId="3CCCE065" w14:textId="77777777" w:rsidR="00EF52EC" w:rsidRDefault="00EF52EC" w:rsidP="005854EE">
      <w:pPr>
        <w:spacing w:after="0" w:line="240" w:lineRule="auto"/>
      </w:pPr>
      <w:r>
        <w:continuationSeparator/>
      </w:r>
    </w:p>
  </w:footnote>
  <w:footnote w:id="1">
    <w:p w14:paraId="50967856" w14:textId="70912965" w:rsidR="00E271BE" w:rsidRDefault="00E271B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D1668"/>
    <w:multiLevelType w:val="hybridMultilevel"/>
    <w:tmpl w:val="82C08654"/>
    <w:lvl w:ilvl="0" w:tplc="AAC4BB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4E96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0463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A29E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4F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6457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4EA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06EE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EA02F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C4ABB"/>
    <w:multiLevelType w:val="hybridMultilevel"/>
    <w:tmpl w:val="5FBAD490"/>
    <w:lvl w:ilvl="0" w:tplc="1F6010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40B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9E11A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BC08A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30EF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456A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B8573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E820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2E92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2573959">
    <w:abstractNumId w:val="1"/>
  </w:num>
  <w:num w:numId="2" w16cid:durableId="1084302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9vsf2aab9azeses92r5stdt0zxas2t9fvfv&quot;&gt;My Research Library&lt;record-ids&gt;&lt;item&gt;191&lt;/item&gt;&lt;item&gt;192&lt;/item&gt;&lt;item&gt;193&lt;/item&gt;&lt;/record-ids&gt;&lt;/item&gt;&lt;/Libraries&gt;"/>
  </w:docVars>
  <w:rsids>
    <w:rsidRoot w:val="005854EE"/>
    <w:rsid w:val="00012ADC"/>
    <w:rsid w:val="00050D31"/>
    <w:rsid w:val="000B37BD"/>
    <w:rsid w:val="000E601A"/>
    <w:rsid w:val="001605F5"/>
    <w:rsid w:val="001E1D70"/>
    <w:rsid w:val="00332D35"/>
    <w:rsid w:val="003459D3"/>
    <w:rsid w:val="00375CCA"/>
    <w:rsid w:val="0044613F"/>
    <w:rsid w:val="00545CED"/>
    <w:rsid w:val="005854EE"/>
    <w:rsid w:val="00645A8E"/>
    <w:rsid w:val="006A3DB2"/>
    <w:rsid w:val="006F321D"/>
    <w:rsid w:val="007834F8"/>
    <w:rsid w:val="00841A29"/>
    <w:rsid w:val="008D2B7C"/>
    <w:rsid w:val="00937837"/>
    <w:rsid w:val="00950C81"/>
    <w:rsid w:val="009729A6"/>
    <w:rsid w:val="009941B4"/>
    <w:rsid w:val="009976DA"/>
    <w:rsid w:val="009F5850"/>
    <w:rsid w:val="00A03DF7"/>
    <w:rsid w:val="00AD38E6"/>
    <w:rsid w:val="00AE2B4B"/>
    <w:rsid w:val="00B627F5"/>
    <w:rsid w:val="00B63779"/>
    <w:rsid w:val="00B64541"/>
    <w:rsid w:val="00B75419"/>
    <w:rsid w:val="00BC1521"/>
    <w:rsid w:val="00BF66B1"/>
    <w:rsid w:val="00C072E0"/>
    <w:rsid w:val="00C36CBF"/>
    <w:rsid w:val="00CD1B2B"/>
    <w:rsid w:val="00D31475"/>
    <w:rsid w:val="00D33860"/>
    <w:rsid w:val="00DB37CC"/>
    <w:rsid w:val="00E271BE"/>
    <w:rsid w:val="00ED261F"/>
    <w:rsid w:val="00EF52EC"/>
    <w:rsid w:val="00F1398F"/>
    <w:rsid w:val="00F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CD30D"/>
  <w15:chartTrackingRefBased/>
  <w15:docId w15:val="{B950002A-7717-48B8-BA8B-12C8E2DA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4E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4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4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4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4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4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4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4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4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4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4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4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4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4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4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4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E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4E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5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4EE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85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4EE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5854EE"/>
  </w:style>
  <w:style w:type="character" w:customStyle="1" w:styleId="eop">
    <w:name w:val="eop"/>
    <w:basedOn w:val="DefaultParagraphFont"/>
    <w:rsid w:val="005854EE"/>
  </w:style>
  <w:style w:type="paragraph" w:styleId="EndnoteText">
    <w:name w:val="endnote text"/>
    <w:basedOn w:val="Normal"/>
    <w:link w:val="EndnoteTextChar"/>
    <w:uiPriority w:val="99"/>
    <w:semiHidden/>
    <w:unhideWhenUsed/>
    <w:rsid w:val="005854EE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54EE"/>
    <w:rPr>
      <w:kern w:val="0"/>
      <w:sz w:val="20"/>
      <w:szCs w:val="20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5854EE"/>
    <w:rPr>
      <w:vertAlign w:val="superscript"/>
    </w:rPr>
  </w:style>
  <w:style w:type="paragraph" w:customStyle="1" w:styleId="paragraph">
    <w:name w:val="paragraph"/>
    <w:basedOn w:val="Normal"/>
    <w:rsid w:val="0058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8D2B7C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D2B7C"/>
    <w:rPr>
      <w:rFonts w:ascii="Aptos" w:hAnsi="Aptos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D2B7C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D2B7C"/>
    <w:rPr>
      <w:rFonts w:ascii="Aptos" w:hAnsi="Aptos"/>
      <w:noProof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71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71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71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9B48E-BE9D-41FC-AAC1-45543D49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287</Words>
  <Characters>1869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Caddick</dc:creator>
  <cp:keywords/>
  <dc:description/>
  <cp:lastModifiedBy>Felipe Orihuela-Espina (Computer Science)</cp:lastModifiedBy>
  <cp:revision>30</cp:revision>
  <dcterms:created xsi:type="dcterms:W3CDTF">2025-09-30T14:47:00Z</dcterms:created>
  <dcterms:modified xsi:type="dcterms:W3CDTF">2025-10-01T12:47:00Z</dcterms:modified>
</cp:coreProperties>
</file>